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9DEF26" w14:textId="672DA928" w:rsidR="00A92B8D" w:rsidRPr="00C725C3" w:rsidRDefault="00C725C3" w:rsidP="00C725C3">
      <w:pPr>
        <w:ind w:firstLine="720"/>
      </w:pPr>
      <w:r>
        <w:t>Q3</w:t>
      </w:r>
    </w:p>
    <w:tbl>
      <w:tblPr>
        <w:tblStyle w:val="GridTable4-Accent1"/>
        <w:tblW w:w="13462" w:type="dxa"/>
        <w:tblLook w:val="0420" w:firstRow="1" w:lastRow="0" w:firstColumn="0" w:lastColumn="0" w:noHBand="0" w:noVBand="1"/>
      </w:tblPr>
      <w:tblGrid>
        <w:gridCol w:w="2195"/>
        <w:gridCol w:w="11267"/>
      </w:tblGrid>
      <w:tr w:rsidR="003D37C2" w:rsidRPr="00C725C3" w14:paraId="003F2AC3" w14:textId="77777777" w:rsidTr="00C725C3">
        <w:trPr>
          <w:cnfStyle w:val="100000000000" w:firstRow="1" w:lastRow="0" w:firstColumn="0" w:lastColumn="0" w:oddVBand="0" w:evenVBand="0" w:oddHBand="0" w:evenHBand="0" w:firstRowFirstColumn="0" w:firstRowLastColumn="0" w:lastRowFirstColumn="0" w:lastRowLastColumn="0"/>
          <w:trHeight w:val="584"/>
        </w:trPr>
        <w:tc>
          <w:tcPr>
            <w:tcW w:w="2195" w:type="dxa"/>
            <w:vMerge w:val="restart"/>
            <w:hideMark/>
          </w:tcPr>
          <w:p w14:paraId="7B22764A" w14:textId="77777777" w:rsidR="003D37C2" w:rsidRPr="00C725C3" w:rsidRDefault="003D37C2" w:rsidP="00A92B8D">
            <w:pPr>
              <w:rPr>
                <w:rFonts w:eastAsia="Times New Roman" w:cs="Arial"/>
                <w:lang w:eastAsia="en-GB"/>
              </w:rPr>
            </w:pPr>
            <w:r w:rsidRPr="00C725C3">
              <w:rPr>
                <w:rFonts w:eastAsia="Times New Roman" w:cs="Arial"/>
                <w:color w:val="FFFFFF"/>
                <w:kern w:val="24"/>
                <w:lang w:eastAsia="en-GB"/>
              </w:rPr>
              <w:t>Title</w:t>
            </w:r>
          </w:p>
        </w:tc>
        <w:tc>
          <w:tcPr>
            <w:tcW w:w="11267" w:type="dxa"/>
            <w:vMerge w:val="restart"/>
            <w:hideMark/>
          </w:tcPr>
          <w:p w14:paraId="7420F6E1" w14:textId="77777777" w:rsidR="003D37C2" w:rsidRPr="00C725C3" w:rsidRDefault="003D37C2" w:rsidP="00A92B8D">
            <w:pPr>
              <w:rPr>
                <w:rFonts w:eastAsia="Times New Roman" w:cs="Arial"/>
                <w:lang w:eastAsia="en-GB"/>
              </w:rPr>
            </w:pPr>
            <w:r w:rsidRPr="00C725C3">
              <w:rPr>
                <w:rFonts w:eastAsia="Times New Roman" w:cs="Arial"/>
                <w:color w:val="FFFFFF"/>
                <w:kern w:val="24"/>
                <w:lang w:eastAsia="en-GB"/>
              </w:rPr>
              <w:t>Proposed Outcomes</w:t>
            </w:r>
          </w:p>
        </w:tc>
      </w:tr>
      <w:tr w:rsidR="003D37C2" w:rsidRPr="00C725C3" w14:paraId="381332AD" w14:textId="77777777" w:rsidTr="00C725C3">
        <w:trPr>
          <w:cnfStyle w:val="000000100000" w:firstRow="0" w:lastRow="0" w:firstColumn="0" w:lastColumn="0" w:oddVBand="0" w:evenVBand="0" w:oddHBand="1" w:evenHBand="0" w:firstRowFirstColumn="0" w:firstRowLastColumn="0" w:lastRowFirstColumn="0" w:lastRowLastColumn="0"/>
          <w:trHeight w:val="458"/>
        </w:trPr>
        <w:tc>
          <w:tcPr>
            <w:tcW w:w="0" w:type="auto"/>
            <w:vMerge/>
            <w:hideMark/>
          </w:tcPr>
          <w:p w14:paraId="12582F71" w14:textId="77777777" w:rsidR="003D37C2" w:rsidRPr="00C725C3" w:rsidRDefault="003D37C2" w:rsidP="00A92B8D">
            <w:pPr>
              <w:rPr>
                <w:rFonts w:eastAsia="Times New Roman" w:cs="Arial"/>
                <w:lang w:eastAsia="en-GB"/>
              </w:rPr>
            </w:pPr>
          </w:p>
        </w:tc>
        <w:tc>
          <w:tcPr>
            <w:tcW w:w="11267" w:type="dxa"/>
            <w:vMerge/>
            <w:hideMark/>
          </w:tcPr>
          <w:p w14:paraId="5C20C928" w14:textId="77777777" w:rsidR="003D37C2" w:rsidRPr="00C725C3" w:rsidRDefault="003D37C2" w:rsidP="00A92B8D">
            <w:pPr>
              <w:rPr>
                <w:rFonts w:eastAsia="Times New Roman" w:cs="Arial"/>
                <w:lang w:eastAsia="en-GB"/>
              </w:rPr>
            </w:pPr>
          </w:p>
        </w:tc>
      </w:tr>
      <w:tr w:rsidR="003D37C2" w:rsidRPr="00C725C3" w14:paraId="0DA66922" w14:textId="77777777" w:rsidTr="00C725C3">
        <w:trPr>
          <w:trHeight w:val="584"/>
        </w:trPr>
        <w:tc>
          <w:tcPr>
            <w:tcW w:w="2195" w:type="dxa"/>
            <w:hideMark/>
          </w:tcPr>
          <w:p w14:paraId="538BFB67"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Cataract – ‘front end’ pathway</w:t>
            </w:r>
          </w:p>
        </w:tc>
        <w:tc>
          <w:tcPr>
            <w:tcW w:w="11267" w:type="dxa"/>
            <w:hideMark/>
          </w:tcPr>
          <w:p w14:paraId="3C386F1E" w14:textId="77777777" w:rsidR="003D37C2" w:rsidRPr="00C725C3" w:rsidRDefault="003D37C2" w:rsidP="00A92B8D">
            <w:pPr>
              <w:rPr>
                <w:rFonts w:eastAsia="Times New Roman" w:cs="Arial"/>
                <w:lang w:eastAsia="en-GB"/>
              </w:rPr>
            </w:pPr>
            <w:r w:rsidRPr="00C725C3">
              <w:rPr>
                <w:rFonts w:eastAsia="Times New Roman" w:cs="Arial"/>
                <w:b/>
                <w:bCs/>
                <w:color w:val="000000"/>
                <w:kern w:val="24"/>
                <w:lang w:eastAsia="en-GB"/>
              </w:rPr>
              <w:t>Choice and Referral Centre</w:t>
            </w:r>
          </w:p>
          <w:p w14:paraId="5C0B9D6D"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Managing referrals into secondary care via expansion of C&amp;R</w:t>
            </w:r>
          </w:p>
          <w:p w14:paraId="44A33C09" w14:textId="77777777" w:rsidR="003D37C2" w:rsidRPr="00C725C3" w:rsidRDefault="003D37C2" w:rsidP="00A92B8D">
            <w:pPr>
              <w:rPr>
                <w:rFonts w:eastAsia="Times New Roman" w:cs="Arial"/>
                <w:lang w:eastAsia="en-GB"/>
              </w:rPr>
            </w:pPr>
            <w:r w:rsidRPr="00C725C3">
              <w:rPr>
                <w:rFonts w:eastAsia="Times New Roman" w:cs="Arial"/>
                <w:b/>
                <w:bCs/>
                <w:color w:val="000000"/>
                <w:kern w:val="24"/>
                <w:lang w:eastAsia="en-GB"/>
              </w:rPr>
              <w:t>Pathway</w:t>
            </w:r>
          </w:p>
          <w:p w14:paraId="4542EC27"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Conversion to surgery has been historically low (around 50%) and there is scope to improve to around 90% via additional work up of patients in the community:</w:t>
            </w:r>
          </w:p>
          <w:p w14:paraId="336A6790" w14:textId="77777777" w:rsidR="003D37C2" w:rsidRPr="00C725C3" w:rsidRDefault="003D37C2" w:rsidP="00A92B8D">
            <w:pPr>
              <w:numPr>
                <w:ilvl w:val="0"/>
                <w:numId w:val="1"/>
              </w:numPr>
              <w:ind w:left="994"/>
              <w:contextualSpacing/>
              <w:rPr>
                <w:rFonts w:eastAsia="Times New Roman" w:cs="Arial"/>
                <w:lang w:eastAsia="en-GB"/>
              </w:rPr>
            </w:pPr>
            <w:r w:rsidRPr="00C725C3">
              <w:rPr>
                <w:rFonts w:eastAsia="Times New Roman" w:cs="Arial"/>
                <w:color w:val="000000"/>
                <w:kern w:val="24"/>
                <w:lang w:eastAsia="en-GB"/>
              </w:rPr>
              <w:t xml:space="preserve">Further tests/ review to ensure patient is eligible for </w:t>
            </w:r>
            <w:proofErr w:type="gramStart"/>
            <w:r w:rsidRPr="00C725C3">
              <w:rPr>
                <w:rFonts w:eastAsia="Times New Roman" w:cs="Arial"/>
                <w:color w:val="000000"/>
                <w:kern w:val="24"/>
                <w:lang w:eastAsia="en-GB"/>
              </w:rPr>
              <w:t>surgery</w:t>
            </w:r>
            <w:proofErr w:type="gramEnd"/>
          </w:p>
          <w:p w14:paraId="1413DF86" w14:textId="77777777" w:rsidR="003D37C2" w:rsidRPr="00C725C3" w:rsidRDefault="003D37C2" w:rsidP="00A92B8D">
            <w:pPr>
              <w:numPr>
                <w:ilvl w:val="0"/>
                <w:numId w:val="1"/>
              </w:numPr>
              <w:ind w:left="994"/>
              <w:contextualSpacing/>
              <w:rPr>
                <w:rFonts w:eastAsia="Times New Roman" w:cs="Arial"/>
                <w:lang w:eastAsia="en-GB"/>
              </w:rPr>
            </w:pPr>
            <w:r w:rsidRPr="00C725C3">
              <w:rPr>
                <w:rFonts w:eastAsia="Times New Roman" w:cs="Arial"/>
                <w:color w:val="000000"/>
                <w:kern w:val="24"/>
                <w:lang w:eastAsia="en-GB"/>
              </w:rPr>
              <w:t xml:space="preserve">Complete additional work up required before </w:t>
            </w:r>
            <w:proofErr w:type="gramStart"/>
            <w:r w:rsidRPr="00C725C3">
              <w:rPr>
                <w:rFonts w:eastAsia="Times New Roman" w:cs="Arial"/>
                <w:color w:val="000000"/>
                <w:kern w:val="24"/>
                <w:lang w:eastAsia="en-GB"/>
              </w:rPr>
              <w:t>referral</w:t>
            </w:r>
            <w:proofErr w:type="gramEnd"/>
          </w:p>
          <w:p w14:paraId="5972D3D9" w14:textId="77777777" w:rsidR="003D37C2" w:rsidRPr="00C725C3" w:rsidRDefault="003D37C2" w:rsidP="00A92B8D">
            <w:pPr>
              <w:numPr>
                <w:ilvl w:val="0"/>
                <w:numId w:val="1"/>
              </w:numPr>
              <w:ind w:left="994"/>
              <w:contextualSpacing/>
              <w:rPr>
                <w:rFonts w:eastAsia="Times New Roman" w:cs="Arial"/>
                <w:lang w:eastAsia="en-GB"/>
              </w:rPr>
            </w:pPr>
            <w:r w:rsidRPr="00C725C3">
              <w:rPr>
                <w:rFonts w:eastAsia="Times New Roman" w:cs="Arial"/>
                <w:color w:val="000000"/>
                <w:kern w:val="24"/>
                <w:lang w:eastAsia="en-GB"/>
              </w:rPr>
              <w:t xml:space="preserve">Ensure patient understands surgery outcomes and actually wants </w:t>
            </w:r>
            <w:proofErr w:type="gramStart"/>
            <w:r w:rsidRPr="00C725C3">
              <w:rPr>
                <w:rFonts w:eastAsia="Times New Roman" w:cs="Arial"/>
                <w:color w:val="000000"/>
                <w:kern w:val="24"/>
                <w:lang w:eastAsia="en-GB"/>
              </w:rPr>
              <w:t>surgery</w:t>
            </w:r>
            <w:proofErr w:type="gramEnd"/>
          </w:p>
          <w:p w14:paraId="25360034"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 xml:space="preserve">This should improve secondary care efficiency, release appointment </w:t>
            </w:r>
            <w:proofErr w:type="gramStart"/>
            <w:r w:rsidRPr="00C725C3">
              <w:rPr>
                <w:rFonts w:eastAsia="Times New Roman" w:cs="Arial"/>
                <w:color w:val="000000"/>
                <w:kern w:val="24"/>
                <w:lang w:eastAsia="en-GB"/>
              </w:rPr>
              <w:t>capacity</w:t>
            </w:r>
            <w:proofErr w:type="gramEnd"/>
            <w:r w:rsidRPr="00C725C3">
              <w:rPr>
                <w:rFonts w:eastAsia="Times New Roman" w:cs="Arial"/>
                <w:color w:val="000000"/>
                <w:kern w:val="24"/>
                <w:lang w:eastAsia="en-GB"/>
              </w:rPr>
              <w:t xml:space="preserve"> and provide a more local service for patients</w:t>
            </w:r>
          </w:p>
        </w:tc>
      </w:tr>
      <w:tr w:rsidR="003D37C2" w:rsidRPr="00C725C3" w14:paraId="3450804F" w14:textId="77777777" w:rsidTr="00C725C3">
        <w:trPr>
          <w:cnfStyle w:val="000000100000" w:firstRow="0" w:lastRow="0" w:firstColumn="0" w:lastColumn="0" w:oddVBand="0" w:evenVBand="0" w:oddHBand="1" w:evenHBand="0" w:firstRowFirstColumn="0" w:firstRowLastColumn="0" w:lastRowFirstColumn="0" w:lastRowLastColumn="0"/>
          <w:trHeight w:val="584"/>
        </w:trPr>
        <w:tc>
          <w:tcPr>
            <w:tcW w:w="2195" w:type="dxa"/>
            <w:hideMark/>
          </w:tcPr>
          <w:p w14:paraId="441BEE5B"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Cataract – ‘back end’ pathway</w:t>
            </w:r>
          </w:p>
        </w:tc>
        <w:tc>
          <w:tcPr>
            <w:tcW w:w="11267" w:type="dxa"/>
            <w:hideMark/>
          </w:tcPr>
          <w:p w14:paraId="7E93EAF4"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 xml:space="preserve">Manage post-operative cataract reviews from secondary care to community optometrists. This should lead to a reduction in OPFU appointments in secondary care </w:t>
            </w:r>
            <w:proofErr w:type="gramStart"/>
            <w:r w:rsidRPr="00C725C3">
              <w:rPr>
                <w:rFonts w:eastAsia="Times New Roman" w:cs="Arial"/>
                <w:color w:val="000000"/>
                <w:kern w:val="24"/>
                <w:lang w:eastAsia="en-GB"/>
              </w:rPr>
              <w:t>and also</w:t>
            </w:r>
            <w:proofErr w:type="gramEnd"/>
            <w:r w:rsidRPr="00C725C3">
              <w:rPr>
                <w:rFonts w:eastAsia="Times New Roman" w:cs="Arial"/>
                <w:color w:val="000000"/>
                <w:kern w:val="24"/>
                <w:lang w:eastAsia="en-GB"/>
              </w:rPr>
              <w:t xml:space="preserve"> a cost saving (from those performed by the IS)</w:t>
            </w:r>
          </w:p>
        </w:tc>
      </w:tr>
      <w:tr w:rsidR="003D37C2" w:rsidRPr="00C725C3" w14:paraId="33BFCCA2" w14:textId="77777777" w:rsidTr="00C725C3">
        <w:trPr>
          <w:trHeight w:val="584"/>
        </w:trPr>
        <w:tc>
          <w:tcPr>
            <w:tcW w:w="2195" w:type="dxa"/>
            <w:hideMark/>
          </w:tcPr>
          <w:p w14:paraId="0F571B43"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Cataract – one stop shop</w:t>
            </w:r>
          </w:p>
        </w:tc>
        <w:tc>
          <w:tcPr>
            <w:tcW w:w="11267" w:type="dxa"/>
            <w:hideMark/>
          </w:tcPr>
          <w:p w14:paraId="1BBD9489"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Patients will attend secondary care for a single appointment, with any additional work up required done in the same appointment as surgery, reducing unnecessary outpatient appointments</w:t>
            </w:r>
          </w:p>
        </w:tc>
      </w:tr>
      <w:tr w:rsidR="003D37C2" w:rsidRPr="00C725C3" w14:paraId="7305C3A7" w14:textId="77777777" w:rsidTr="00C725C3">
        <w:trPr>
          <w:cnfStyle w:val="000000100000" w:firstRow="0" w:lastRow="0" w:firstColumn="0" w:lastColumn="0" w:oddVBand="0" w:evenVBand="0" w:oddHBand="1" w:evenHBand="0" w:firstRowFirstColumn="0" w:firstRowLastColumn="0" w:lastRowFirstColumn="0" w:lastRowLastColumn="0"/>
          <w:trHeight w:val="584"/>
        </w:trPr>
        <w:tc>
          <w:tcPr>
            <w:tcW w:w="2195" w:type="dxa"/>
            <w:hideMark/>
          </w:tcPr>
          <w:p w14:paraId="601A210A"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Glaucoma – repeat measures</w:t>
            </w:r>
          </w:p>
        </w:tc>
        <w:tc>
          <w:tcPr>
            <w:tcW w:w="11267" w:type="dxa"/>
            <w:hideMark/>
          </w:tcPr>
          <w:p w14:paraId="657273B1"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Patients with pressures between certain values have an additional appointment to re-measure and check visual field. Referrals are then only made to secondary care when pressures are still high/ abnormal visual field results resulting in a reduction of referrals into secondary care</w:t>
            </w:r>
          </w:p>
        </w:tc>
      </w:tr>
      <w:tr w:rsidR="003D37C2" w:rsidRPr="00C725C3" w14:paraId="55DA14FF" w14:textId="77777777" w:rsidTr="00C725C3">
        <w:trPr>
          <w:trHeight w:val="584"/>
        </w:trPr>
        <w:tc>
          <w:tcPr>
            <w:tcW w:w="2195" w:type="dxa"/>
            <w:hideMark/>
          </w:tcPr>
          <w:p w14:paraId="3F2FE058"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Glaucoma – enhanced case finding</w:t>
            </w:r>
          </w:p>
        </w:tc>
        <w:tc>
          <w:tcPr>
            <w:tcW w:w="11267" w:type="dxa"/>
            <w:hideMark/>
          </w:tcPr>
          <w:p w14:paraId="2ABE616B"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 xml:space="preserve">Further testing for symptoms such as narrow </w:t>
            </w:r>
            <w:proofErr w:type="spellStart"/>
            <w:r w:rsidRPr="00C725C3">
              <w:rPr>
                <w:rFonts w:eastAsia="Times New Roman" w:cs="Arial"/>
                <w:color w:val="000000"/>
                <w:kern w:val="24"/>
                <w:lang w:eastAsia="en-GB"/>
              </w:rPr>
              <w:t>occludable</w:t>
            </w:r>
            <w:proofErr w:type="spellEnd"/>
            <w:r w:rsidRPr="00C725C3">
              <w:rPr>
                <w:rFonts w:eastAsia="Times New Roman" w:cs="Arial"/>
                <w:color w:val="000000"/>
                <w:kern w:val="24"/>
                <w:lang w:eastAsia="en-GB"/>
              </w:rPr>
              <w:t xml:space="preserve"> angle or suspicious shaped discs with non-conclusive pressures</w:t>
            </w:r>
          </w:p>
        </w:tc>
      </w:tr>
      <w:tr w:rsidR="003D37C2" w:rsidRPr="00C725C3" w14:paraId="1FAC7F7A" w14:textId="77777777" w:rsidTr="00C725C3">
        <w:trPr>
          <w:cnfStyle w:val="000000100000" w:firstRow="0" w:lastRow="0" w:firstColumn="0" w:lastColumn="0" w:oddVBand="0" w:evenVBand="0" w:oddHBand="1" w:evenHBand="0" w:firstRowFirstColumn="0" w:firstRowLastColumn="0" w:lastRowFirstColumn="0" w:lastRowLastColumn="0"/>
          <w:trHeight w:val="584"/>
        </w:trPr>
        <w:tc>
          <w:tcPr>
            <w:tcW w:w="2195" w:type="dxa"/>
            <w:hideMark/>
          </w:tcPr>
          <w:p w14:paraId="2A646E41"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Glaucoma – tier 3 service</w:t>
            </w:r>
          </w:p>
        </w:tc>
        <w:tc>
          <w:tcPr>
            <w:tcW w:w="11267" w:type="dxa"/>
            <w:hideMark/>
          </w:tcPr>
          <w:p w14:paraId="69E67180"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Service is designed to allow more patients to be managed in the community depending on results from repeat measures or enhanced case finding, by risk stratifying and only referring high risk patients onwards. Pilots in other parts of England have shown 70% and 50% reductions of patients being referred onwards respectively</w:t>
            </w:r>
          </w:p>
        </w:tc>
      </w:tr>
      <w:tr w:rsidR="003D37C2" w:rsidRPr="00C725C3" w14:paraId="71FB77C5" w14:textId="77777777" w:rsidTr="00C725C3">
        <w:trPr>
          <w:trHeight w:val="584"/>
        </w:trPr>
        <w:tc>
          <w:tcPr>
            <w:tcW w:w="2195" w:type="dxa"/>
            <w:hideMark/>
          </w:tcPr>
          <w:p w14:paraId="37A331AE"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Wet AMD – ‘back end’ pathway</w:t>
            </w:r>
          </w:p>
        </w:tc>
        <w:tc>
          <w:tcPr>
            <w:tcW w:w="11267" w:type="dxa"/>
            <w:hideMark/>
          </w:tcPr>
          <w:p w14:paraId="0AB5A932"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Management of stable patients in the community, which would help to reduce OPFUs</w:t>
            </w:r>
          </w:p>
        </w:tc>
      </w:tr>
      <w:tr w:rsidR="003D37C2" w:rsidRPr="00C725C3" w14:paraId="5ABEB7B4" w14:textId="77777777" w:rsidTr="00C725C3">
        <w:trPr>
          <w:cnfStyle w:val="000000100000" w:firstRow="0" w:lastRow="0" w:firstColumn="0" w:lastColumn="0" w:oddVBand="0" w:evenVBand="0" w:oddHBand="1" w:evenHBand="0" w:firstRowFirstColumn="0" w:firstRowLastColumn="0" w:lastRowFirstColumn="0" w:lastRowLastColumn="0"/>
          <w:trHeight w:val="584"/>
        </w:trPr>
        <w:tc>
          <w:tcPr>
            <w:tcW w:w="2195" w:type="dxa"/>
            <w:hideMark/>
          </w:tcPr>
          <w:p w14:paraId="572EC616" w14:textId="77777777" w:rsidR="003D37C2" w:rsidRPr="00C725C3" w:rsidRDefault="003D37C2" w:rsidP="00A92B8D">
            <w:pPr>
              <w:rPr>
                <w:rFonts w:eastAsia="Times New Roman" w:cs="Arial"/>
                <w:lang w:eastAsia="en-GB"/>
              </w:rPr>
            </w:pPr>
            <w:proofErr w:type="spellStart"/>
            <w:r w:rsidRPr="00C725C3">
              <w:rPr>
                <w:rFonts w:eastAsia="Times New Roman" w:cs="Arial"/>
                <w:color w:val="000000"/>
                <w:kern w:val="24"/>
                <w:lang w:eastAsia="en-GB"/>
              </w:rPr>
              <w:t>EeRS</w:t>
            </w:r>
            <w:proofErr w:type="spellEnd"/>
            <w:r w:rsidRPr="00C725C3">
              <w:rPr>
                <w:rFonts w:eastAsia="Times New Roman" w:cs="Arial"/>
                <w:color w:val="000000"/>
                <w:kern w:val="24"/>
                <w:lang w:eastAsia="en-GB"/>
              </w:rPr>
              <w:t xml:space="preserve"> Project</w:t>
            </w:r>
          </w:p>
        </w:tc>
        <w:tc>
          <w:tcPr>
            <w:tcW w:w="11267" w:type="dxa"/>
            <w:hideMark/>
          </w:tcPr>
          <w:p w14:paraId="38722E35" w14:textId="77777777" w:rsidR="003D37C2" w:rsidRPr="00C725C3" w:rsidRDefault="003D37C2" w:rsidP="00A92B8D">
            <w:pPr>
              <w:rPr>
                <w:rFonts w:eastAsia="Times New Roman" w:cs="Arial"/>
                <w:lang w:eastAsia="en-GB"/>
              </w:rPr>
            </w:pPr>
            <w:r w:rsidRPr="00C725C3">
              <w:rPr>
                <w:rFonts w:eastAsia="Times New Roman" w:cs="Arial"/>
                <w:color w:val="000000"/>
                <w:kern w:val="24"/>
                <w:lang w:eastAsia="en-GB"/>
              </w:rPr>
              <w:t xml:space="preserve">National roll out of electronic referral system accessible by optometrists, which will improve referral quality </w:t>
            </w:r>
            <w:proofErr w:type="gramStart"/>
            <w:r w:rsidRPr="00C725C3">
              <w:rPr>
                <w:rFonts w:eastAsia="Times New Roman" w:cs="Arial"/>
                <w:color w:val="000000"/>
                <w:kern w:val="24"/>
                <w:lang w:eastAsia="en-GB"/>
              </w:rPr>
              <w:t>and also</w:t>
            </w:r>
            <w:proofErr w:type="gramEnd"/>
            <w:r w:rsidRPr="00C725C3">
              <w:rPr>
                <w:rFonts w:eastAsia="Times New Roman" w:cs="Arial"/>
                <w:color w:val="000000"/>
                <w:kern w:val="24"/>
                <w:lang w:eastAsia="en-GB"/>
              </w:rPr>
              <w:t xml:space="preserve"> ensure that referrals are made to the right service at the right time</w:t>
            </w:r>
          </w:p>
        </w:tc>
      </w:tr>
    </w:tbl>
    <w:p w14:paraId="27C257AD" w14:textId="60C1ABCE" w:rsidR="00A92B8D" w:rsidRPr="00C725C3" w:rsidRDefault="00A92B8D"/>
    <w:sectPr w:rsidR="00A92B8D" w:rsidRPr="00C725C3" w:rsidSect="00A92B8D">
      <w:pgSz w:w="16838" w:h="11906" w:orient="landscape"/>
      <w:pgMar w:top="568"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D54546A"/>
    <w:multiLevelType w:val="hybridMultilevel"/>
    <w:tmpl w:val="5DC002F6"/>
    <w:lvl w:ilvl="0" w:tplc="15E2FDC6">
      <w:start w:val="1"/>
      <w:numFmt w:val="bullet"/>
      <w:lvlText w:val="•"/>
      <w:lvlJc w:val="left"/>
      <w:pPr>
        <w:tabs>
          <w:tab w:val="num" w:pos="720"/>
        </w:tabs>
        <w:ind w:left="720" w:hanging="360"/>
      </w:pPr>
      <w:rPr>
        <w:rFonts w:ascii="Arial" w:hAnsi="Arial" w:hint="default"/>
      </w:rPr>
    </w:lvl>
    <w:lvl w:ilvl="1" w:tplc="3C8C3354" w:tentative="1">
      <w:start w:val="1"/>
      <w:numFmt w:val="bullet"/>
      <w:lvlText w:val="•"/>
      <w:lvlJc w:val="left"/>
      <w:pPr>
        <w:tabs>
          <w:tab w:val="num" w:pos="1440"/>
        </w:tabs>
        <w:ind w:left="1440" w:hanging="360"/>
      </w:pPr>
      <w:rPr>
        <w:rFonts w:ascii="Arial" w:hAnsi="Arial" w:hint="default"/>
      </w:rPr>
    </w:lvl>
    <w:lvl w:ilvl="2" w:tplc="7944AD76" w:tentative="1">
      <w:start w:val="1"/>
      <w:numFmt w:val="bullet"/>
      <w:lvlText w:val="•"/>
      <w:lvlJc w:val="left"/>
      <w:pPr>
        <w:tabs>
          <w:tab w:val="num" w:pos="2160"/>
        </w:tabs>
        <w:ind w:left="2160" w:hanging="360"/>
      </w:pPr>
      <w:rPr>
        <w:rFonts w:ascii="Arial" w:hAnsi="Arial" w:hint="default"/>
      </w:rPr>
    </w:lvl>
    <w:lvl w:ilvl="3" w:tplc="23F6EE2A" w:tentative="1">
      <w:start w:val="1"/>
      <w:numFmt w:val="bullet"/>
      <w:lvlText w:val="•"/>
      <w:lvlJc w:val="left"/>
      <w:pPr>
        <w:tabs>
          <w:tab w:val="num" w:pos="2880"/>
        </w:tabs>
        <w:ind w:left="2880" w:hanging="360"/>
      </w:pPr>
      <w:rPr>
        <w:rFonts w:ascii="Arial" w:hAnsi="Arial" w:hint="default"/>
      </w:rPr>
    </w:lvl>
    <w:lvl w:ilvl="4" w:tplc="82AA55C2" w:tentative="1">
      <w:start w:val="1"/>
      <w:numFmt w:val="bullet"/>
      <w:lvlText w:val="•"/>
      <w:lvlJc w:val="left"/>
      <w:pPr>
        <w:tabs>
          <w:tab w:val="num" w:pos="3600"/>
        </w:tabs>
        <w:ind w:left="3600" w:hanging="360"/>
      </w:pPr>
      <w:rPr>
        <w:rFonts w:ascii="Arial" w:hAnsi="Arial" w:hint="default"/>
      </w:rPr>
    </w:lvl>
    <w:lvl w:ilvl="5" w:tplc="56BE09F0" w:tentative="1">
      <w:start w:val="1"/>
      <w:numFmt w:val="bullet"/>
      <w:lvlText w:val="•"/>
      <w:lvlJc w:val="left"/>
      <w:pPr>
        <w:tabs>
          <w:tab w:val="num" w:pos="4320"/>
        </w:tabs>
        <w:ind w:left="4320" w:hanging="360"/>
      </w:pPr>
      <w:rPr>
        <w:rFonts w:ascii="Arial" w:hAnsi="Arial" w:hint="default"/>
      </w:rPr>
    </w:lvl>
    <w:lvl w:ilvl="6" w:tplc="7AC8DCE4" w:tentative="1">
      <w:start w:val="1"/>
      <w:numFmt w:val="bullet"/>
      <w:lvlText w:val="•"/>
      <w:lvlJc w:val="left"/>
      <w:pPr>
        <w:tabs>
          <w:tab w:val="num" w:pos="5040"/>
        </w:tabs>
        <w:ind w:left="5040" w:hanging="360"/>
      </w:pPr>
      <w:rPr>
        <w:rFonts w:ascii="Arial" w:hAnsi="Arial" w:hint="default"/>
      </w:rPr>
    </w:lvl>
    <w:lvl w:ilvl="7" w:tplc="AD76F9B0" w:tentative="1">
      <w:start w:val="1"/>
      <w:numFmt w:val="bullet"/>
      <w:lvlText w:val="•"/>
      <w:lvlJc w:val="left"/>
      <w:pPr>
        <w:tabs>
          <w:tab w:val="num" w:pos="5760"/>
        </w:tabs>
        <w:ind w:left="5760" w:hanging="360"/>
      </w:pPr>
      <w:rPr>
        <w:rFonts w:ascii="Arial" w:hAnsi="Arial" w:hint="default"/>
      </w:rPr>
    </w:lvl>
    <w:lvl w:ilvl="8" w:tplc="7DDE321E" w:tentative="1">
      <w:start w:val="1"/>
      <w:numFmt w:val="bullet"/>
      <w:lvlText w:val="•"/>
      <w:lvlJc w:val="left"/>
      <w:pPr>
        <w:tabs>
          <w:tab w:val="num" w:pos="6480"/>
        </w:tabs>
        <w:ind w:left="6480" w:hanging="360"/>
      </w:pPr>
      <w:rPr>
        <w:rFonts w:ascii="Arial" w:hAnsi="Arial" w:hint="default"/>
      </w:rPr>
    </w:lvl>
  </w:abstractNum>
  <w:num w:numId="1" w16cid:durableId="16374478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B8D"/>
    <w:rsid w:val="003D37C2"/>
    <w:rsid w:val="004773FF"/>
    <w:rsid w:val="00A92B8D"/>
    <w:rsid w:val="00C725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C2B25"/>
  <w15:chartTrackingRefBased/>
  <w15:docId w15:val="{85EA02E1-9051-4C7E-A4EC-12E98D938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GridTable4-Accent1">
    <w:name w:val="Grid Table 4 Accent 1"/>
    <w:basedOn w:val="TableNormal"/>
    <w:uiPriority w:val="49"/>
    <w:rsid w:val="00C725C3"/>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1126965">
      <w:bodyDiv w:val="1"/>
      <w:marLeft w:val="0"/>
      <w:marRight w:val="0"/>
      <w:marTop w:val="0"/>
      <w:marBottom w:val="0"/>
      <w:divBdr>
        <w:top w:val="none" w:sz="0" w:space="0" w:color="auto"/>
        <w:left w:val="none" w:sz="0" w:space="0" w:color="auto"/>
        <w:bottom w:val="none" w:sz="0" w:space="0" w:color="auto"/>
        <w:right w:val="none" w:sz="0" w:space="0" w:color="auto"/>
      </w:divBdr>
      <w:divsChild>
        <w:div w:id="124541396">
          <w:marLeft w:val="274"/>
          <w:marRight w:val="0"/>
          <w:marTop w:val="0"/>
          <w:marBottom w:val="0"/>
          <w:divBdr>
            <w:top w:val="none" w:sz="0" w:space="0" w:color="auto"/>
            <w:left w:val="none" w:sz="0" w:space="0" w:color="auto"/>
            <w:bottom w:val="none" w:sz="0" w:space="0" w:color="auto"/>
            <w:right w:val="none" w:sz="0" w:space="0" w:color="auto"/>
          </w:divBdr>
        </w:div>
        <w:div w:id="1345982185">
          <w:marLeft w:val="274"/>
          <w:marRight w:val="0"/>
          <w:marTop w:val="0"/>
          <w:marBottom w:val="0"/>
          <w:divBdr>
            <w:top w:val="none" w:sz="0" w:space="0" w:color="auto"/>
            <w:left w:val="none" w:sz="0" w:space="0" w:color="auto"/>
            <w:bottom w:val="none" w:sz="0" w:space="0" w:color="auto"/>
            <w:right w:val="none" w:sz="0" w:space="0" w:color="auto"/>
          </w:divBdr>
        </w:div>
        <w:div w:id="1633632311">
          <w:marLeft w:val="27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330</Words>
  <Characters>1881</Characters>
  <Application>Microsoft Office Word</Application>
  <DocSecurity>0</DocSecurity>
  <Lines>15</Lines>
  <Paragraphs>4</Paragraphs>
  <ScaleCrop>false</ScaleCrop>
  <Company/>
  <LinksUpToDate>false</LinksUpToDate>
  <CharactersWithSpaces>2207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Marsh (QNC) SSOT ICB</dc:creator>
  <cp:keywords/>
  <dc:description/>
  <cp:lastModifiedBy>Andrea Brown (QNC) SSOT ICB</cp:lastModifiedBy>
  <cp:revision>3</cp:revision>
  <dcterms:created xsi:type="dcterms:W3CDTF">2023-09-27T15:44:00Z</dcterms:created>
  <dcterms:modified xsi:type="dcterms:W3CDTF">2023-10-02T11:36:00Z</dcterms:modified>
</cp:coreProperties>
</file>