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DEF26" w14:textId="672DA928" w:rsidR="00A92B8D" w:rsidRPr="00C725C3" w:rsidRDefault="00C725C3" w:rsidP="00C725C3">
      <w:pPr>
        <w:ind w:firstLine="720"/>
      </w:pPr>
      <w:r>
        <w:t>Q3</w:t>
      </w:r>
    </w:p>
    <w:tbl>
      <w:tblPr>
        <w:tblStyle w:val="GridTable4-Accent1"/>
        <w:tblW w:w="13462" w:type="dxa"/>
        <w:tblLook w:val="0420" w:firstRow="1" w:lastRow="0" w:firstColumn="0" w:lastColumn="0" w:noHBand="0" w:noVBand="1"/>
      </w:tblPr>
      <w:tblGrid>
        <w:gridCol w:w="2195"/>
        <w:gridCol w:w="11267"/>
      </w:tblGrid>
      <w:tr w:rsidR="003D37C2" w:rsidRPr="00C725C3" w14:paraId="003F2AC3" w14:textId="77777777" w:rsidTr="00C725C3">
        <w:trPr>
          <w:cnfStyle w:val="100000000000" w:firstRow="1" w:lastRow="0" w:firstColumn="0" w:lastColumn="0" w:oddVBand="0" w:evenVBand="0" w:oddHBand="0" w:evenHBand="0" w:firstRowFirstColumn="0" w:firstRowLastColumn="0" w:lastRowFirstColumn="0" w:lastRowLastColumn="0"/>
          <w:trHeight w:val="584"/>
        </w:trPr>
        <w:tc>
          <w:tcPr>
            <w:tcW w:w="2195" w:type="dxa"/>
            <w:vMerge w:val="restart"/>
            <w:hideMark/>
          </w:tcPr>
          <w:p w14:paraId="7B22764A" w14:textId="77777777" w:rsidR="003D37C2" w:rsidRPr="00C725C3" w:rsidRDefault="003D37C2" w:rsidP="00A92B8D">
            <w:pPr>
              <w:rPr>
                <w:rFonts w:eastAsia="Times New Roman" w:cs="Arial"/>
                <w:lang w:eastAsia="en-GB"/>
              </w:rPr>
            </w:pPr>
            <w:r w:rsidRPr="00C725C3">
              <w:rPr>
                <w:rFonts w:eastAsia="Times New Roman" w:cs="Arial"/>
                <w:color w:val="FFFFFF"/>
                <w:kern w:val="24"/>
                <w:lang w:eastAsia="en-GB"/>
              </w:rPr>
              <w:t>Title</w:t>
            </w:r>
          </w:p>
        </w:tc>
        <w:tc>
          <w:tcPr>
            <w:tcW w:w="11267" w:type="dxa"/>
            <w:vMerge w:val="restart"/>
            <w:hideMark/>
          </w:tcPr>
          <w:p w14:paraId="7420F6E1" w14:textId="77777777" w:rsidR="003D37C2" w:rsidRPr="00C725C3" w:rsidRDefault="003D37C2" w:rsidP="00A92B8D">
            <w:pPr>
              <w:rPr>
                <w:rFonts w:eastAsia="Times New Roman" w:cs="Arial"/>
                <w:lang w:eastAsia="en-GB"/>
              </w:rPr>
            </w:pPr>
            <w:r w:rsidRPr="00C725C3">
              <w:rPr>
                <w:rFonts w:eastAsia="Times New Roman" w:cs="Arial"/>
                <w:color w:val="FFFFFF"/>
                <w:kern w:val="24"/>
                <w:lang w:eastAsia="en-GB"/>
              </w:rPr>
              <w:t>Proposed Outcomes</w:t>
            </w:r>
          </w:p>
        </w:tc>
      </w:tr>
      <w:tr w:rsidR="003D37C2" w:rsidRPr="00C725C3" w14:paraId="381332AD" w14:textId="77777777" w:rsidTr="00C725C3">
        <w:trPr>
          <w:cnfStyle w:val="000000100000" w:firstRow="0" w:lastRow="0" w:firstColumn="0" w:lastColumn="0" w:oddVBand="0" w:evenVBand="0" w:oddHBand="1" w:evenHBand="0" w:firstRowFirstColumn="0" w:firstRowLastColumn="0" w:lastRowFirstColumn="0" w:lastRowLastColumn="0"/>
          <w:trHeight w:val="458"/>
        </w:trPr>
        <w:tc>
          <w:tcPr>
            <w:tcW w:w="0" w:type="auto"/>
            <w:vMerge/>
            <w:hideMark/>
          </w:tcPr>
          <w:p w14:paraId="12582F71" w14:textId="77777777" w:rsidR="003D37C2" w:rsidRPr="00C725C3" w:rsidRDefault="003D37C2" w:rsidP="00A92B8D">
            <w:pPr>
              <w:rPr>
                <w:rFonts w:eastAsia="Times New Roman" w:cs="Arial"/>
                <w:lang w:eastAsia="en-GB"/>
              </w:rPr>
            </w:pPr>
          </w:p>
        </w:tc>
        <w:tc>
          <w:tcPr>
            <w:tcW w:w="11267" w:type="dxa"/>
            <w:vMerge/>
            <w:hideMark/>
          </w:tcPr>
          <w:p w14:paraId="5C20C928" w14:textId="77777777" w:rsidR="003D37C2" w:rsidRPr="00C725C3" w:rsidRDefault="003D37C2" w:rsidP="00A92B8D">
            <w:pPr>
              <w:rPr>
                <w:rFonts w:eastAsia="Times New Roman" w:cs="Arial"/>
                <w:lang w:eastAsia="en-GB"/>
              </w:rPr>
            </w:pPr>
          </w:p>
        </w:tc>
      </w:tr>
      <w:tr w:rsidR="003D37C2" w:rsidRPr="00C725C3" w14:paraId="0DA66922" w14:textId="77777777" w:rsidTr="00C725C3">
        <w:trPr>
          <w:trHeight w:val="584"/>
        </w:trPr>
        <w:tc>
          <w:tcPr>
            <w:tcW w:w="2195" w:type="dxa"/>
            <w:hideMark/>
          </w:tcPr>
          <w:p w14:paraId="538BFB67" w14:textId="77777777" w:rsidR="003D37C2" w:rsidRPr="00C725C3" w:rsidRDefault="003D37C2" w:rsidP="00A92B8D">
            <w:pPr>
              <w:rPr>
                <w:rFonts w:eastAsia="Times New Roman" w:cs="Arial"/>
                <w:lang w:eastAsia="en-GB"/>
              </w:rPr>
            </w:pPr>
            <w:r w:rsidRPr="00C725C3">
              <w:rPr>
                <w:rFonts w:eastAsia="Times New Roman" w:cs="Arial"/>
                <w:color w:val="000000"/>
                <w:kern w:val="24"/>
                <w:lang w:eastAsia="en-GB"/>
              </w:rPr>
              <w:t>Cataract – ‘front end’ pathway</w:t>
            </w:r>
          </w:p>
        </w:tc>
        <w:tc>
          <w:tcPr>
            <w:tcW w:w="11267" w:type="dxa"/>
            <w:hideMark/>
          </w:tcPr>
          <w:p w14:paraId="3C386F1E" w14:textId="77777777" w:rsidR="003D37C2" w:rsidRPr="00C725C3" w:rsidRDefault="003D37C2" w:rsidP="00A92B8D">
            <w:pPr>
              <w:rPr>
                <w:rFonts w:eastAsia="Times New Roman" w:cs="Arial"/>
                <w:lang w:eastAsia="en-GB"/>
              </w:rPr>
            </w:pPr>
            <w:r w:rsidRPr="00C725C3">
              <w:rPr>
                <w:rFonts w:eastAsia="Times New Roman" w:cs="Arial"/>
                <w:b/>
                <w:bCs/>
                <w:color w:val="000000"/>
                <w:kern w:val="24"/>
                <w:lang w:eastAsia="en-GB"/>
              </w:rPr>
              <w:t>Choice and Referral Centre</w:t>
            </w:r>
          </w:p>
          <w:p w14:paraId="5C0B9D6D" w14:textId="77777777" w:rsidR="003D37C2" w:rsidRPr="00C725C3" w:rsidRDefault="003D37C2" w:rsidP="00A92B8D">
            <w:pPr>
              <w:rPr>
                <w:rFonts w:eastAsia="Times New Roman" w:cs="Arial"/>
                <w:lang w:eastAsia="en-GB"/>
              </w:rPr>
            </w:pPr>
            <w:r w:rsidRPr="00C725C3">
              <w:rPr>
                <w:rFonts w:eastAsia="Times New Roman" w:cs="Arial"/>
                <w:color w:val="000000"/>
                <w:kern w:val="24"/>
                <w:lang w:eastAsia="en-GB"/>
              </w:rPr>
              <w:t>Managing referrals into secondary care via expansion of C&amp;R</w:t>
            </w:r>
          </w:p>
          <w:p w14:paraId="44A33C09" w14:textId="77777777" w:rsidR="003D37C2" w:rsidRPr="00C725C3" w:rsidRDefault="003D37C2" w:rsidP="00A92B8D">
            <w:pPr>
              <w:rPr>
                <w:rFonts w:eastAsia="Times New Roman" w:cs="Arial"/>
                <w:lang w:eastAsia="en-GB"/>
              </w:rPr>
            </w:pPr>
            <w:r w:rsidRPr="00C725C3">
              <w:rPr>
                <w:rFonts w:eastAsia="Times New Roman" w:cs="Arial"/>
                <w:b/>
                <w:bCs/>
                <w:color w:val="000000"/>
                <w:kern w:val="24"/>
                <w:lang w:eastAsia="en-GB"/>
              </w:rPr>
              <w:t>Pathway</w:t>
            </w:r>
          </w:p>
          <w:p w14:paraId="4542EC27" w14:textId="77777777" w:rsidR="003D37C2" w:rsidRPr="00C725C3" w:rsidRDefault="003D37C2" w:rsidP="00A92B8D">
            <w:pPr>
              <w:rPr>
                <w:rFonts w:eastAsia="Times New Roman" w:cs="Arial"/>
                <w:lang w:eastAsia="en-GB"/>
              </w:rPr>
            </w:pPr>
            <w:r w:rsidRPr="00C725C3">
              <w:rPr>
                <w:rFonts w:eastAsia="Times New Roman" w:cs="Arial"/>
                <w:color w:val="000000"/>
                <w:kern w:val="24"/>
                <w:lang w:eastAsia="en-GB"/>
              </w:rPr>
              <w:t>Conversion to surgery has been historically low (around 50%) and there is scope to improve to around 90% via additional work up of patients in the community:</w:t>
            </w:r>
          </w:p>
          <w:p w14:paraId="336A6790" w14:textId="77777777" w:rsidR="003D37C2" w:rsidRPr="00C725C3" w:rsidRDefault="003D37C2" w:rsidP="00A92B8D">
            <w:pPr>
              <w:numPr>
                <w:ilvl w:val="0"/>
                <w:numId w:val="1"/>
              </w:numPr>
              <w:ind w:left="994"/>
              <w:contextualSpacing/>
              <w:rPr>
                <w:rFonts w:eastAsia="Times New Roman" w:cs="Arial"/>
                <w:lang w:eastAsia="en-GB"/>
              </w:rPr>
            </w:pPr>
            <w:r w:rsidRPr="00C725C3">
              <w:rPr>
                <w:rFonts w:eastAsia="Times New Roman" w:cs="Arial"/>
                <w:color w:val="000000"/>
                <w:kern w:val="24"/>
                <w:lang w:eastAsia="en-GB"/>
              </w:rPr>
              <w:t xml:space="preserve">Further tests/ review to ensure patient is eligible for </w:t>
            </w:r>
            <w:proofErr w:type="gramStart"/>
            <w:r w:rsidRPr="00C725C3">
              <w:rPr>
                <w:rFonts w:eastAsia="Times New Roman" w:cs="Arial"/>
                <w:color w:val="000000"/>
                <w:kern w:val="24"/>
                <w:lang w:eastAsia="en-GB"/>
              </w:rPr>
              <w:t>surgery</w:t>
            </w:r>
            <w:proofErr w:type="gramEnd"/>
          </w:p>
          <w:p w14:paraId="1413DF86" w14:textId="77777777" w:rsidR="003D37C2" w:rsidRPr="00C725C3" w:rsidRDefault="003D37C2" w:rsidP="00A92B8D">
            <w:pPr>
              <w:numPr>
                <w:ilvl w:val="0"/>
                <w:numId w:val="1"/>
              </w:numPr>
              <w:ind w:left="994"/>
              <w:contextualSpacing/>
              <w:rPr>
                <w:rFonts w:eastAsia="Times New Roman" w:cs="Arial"/>
                <w:lang w:eastAsia="en-GB"/>
              </w:rPr>
            </w:pPr>
            <w:r w:rsidRPr="00C725C3">
              <w:rPr>
                <w:rFonts w:eastAsia="Times New Roman" w:cs="Arial"/>
                <w:color w:val="000000"/>
                <w:kern w:val="24"/>
                <w:lang w:eastAsia="en-GB"/>
              </w:rPr>
              <w:t xml:space="preserve">Complete additional work up required before </w:t>
            </w:r>
            <w:proofErr w:type="gramStart"/>
            <w:r w:rsidRPr="00C725C3">
              <w:rPr>
                <w:rFonts w:eastAsia="Times New Roman" w:cs="Arial"/>
                <w:color w:val="000000"/>
                <w:kern w:val="24"/>
                <w:lang w:eastAsia="en-GB"/>
              </w:rPr>
              <w:t>referral</w:t>
            </w:r>
            <w:proofErr w:type="gramEnd"/>
          </w:p>
          <w:p w14:paraId="5972D3D9" w14:textId="77777777" w:rsidR="003D37C2" w:rsidRPr="00C725C3" w:rsidRDefault="003D37C2" w:rsidP="00A92B8D">
            <w:pPr>
              <w:numPr>
                <w:ilvl w:val="0"/>
                <w:numId w:val="1"/>
              </w:numPr>
              <w:ind w:left="994"/>
              <w:contextualSpacing/>
              <w:rPr>
                <w:rFonts w:eastAsia="Times New Roman" w:cs="Arial"/>
                <w:lang w:eastAsia="en-GB"/>
              </w:rPr>
            </w:pPr>
            <w:r w:rsidRPr="00C725C3">
              <w:rPr>
                <w:rFonts w:eastAsia="Times New Roman" w:cs="Arial"/>
                <w:color w:val="000000"/>
                <w:kern w:val="24"/>
                <w:lang w:eastAsia="en-GB"/>
              </w:rPr>
              <w:t xml:space="preserve">Ensure patient understands surgery outcomes and actually wants </w:t>
            </w:r>
            <w:proofErr w:type="gramStart"/>
            <w:r w:rsidRPr="00C725C3">
              <w:rPr>
                <w:rFonts w:eastAsia="Times New Roman" w:cs="Arial"/>
                <w:color w:val="000000"/>
                <w:kern w:val="24"/>
                <w:lang w:eastAsia="en-GB"/>
              </w:rPr>
              <w:t>surgery</w:t>
            </w:r>
            <w:proofErr w:type="gramEnd"/>
          </w:p>
          <w:p w14:paraId="25360034" w14:textId="77777777" w:rsidR="003D37C2" w:rsidRPr="00C725C3" w:rsidRDefault="003D37C2" w:rsidP="00A92B8D">
            <w:pPr>
              <w:rPr>
                <w:rFonts w:eastAsia="Times New Roman" w:cs="Arial"/>
                <w:lang w:eastAsia="en-GB"/>
              </w:rPr>
            </w:pPr>
            <w:r w:rsidRPr="00C725C3">
              <w:rPr>
                <w:rFonts w:eastAsia="Times New Roman" w:cs="Arial"/>
                <w:color w:val="000000"/>
                <w:kern w:val="24"/>
                <w:lang w:eastAsia="en-GB"/>
              </w:rPr>
              <w:t xml:space="preserve">This should improve secondary care efficiency, release appointment </w:t>
            </w:r>
            <w:proofErr w:type="gramStart"/>
            <w:r w:rsidRPr="00C725C3">
              <w:rPr>
                <w:rFonts w:eastAsia="Times New Roman" w:cs="Arial"/>
                <w:color w:val="000000"/>
                <w:kern w:val="24"/>
                <w:lang w:eastAsia="en-GB"/>
              </w:rPr>
              <w:t>capacity</w:t>
            </w:r>
            <w:proofErr w:type="gramEnd"/>
            <w:r w:rsidRPr="00C725C3">
              <w:rPr>
                <w:rFonts w:eastAsia="Times New Roman" w:cs="Arial"/>
                <w:color w:val="000000"/>
                <w:kern w:val="24"/>
                <w:lang w:eastAsia="en-GB"/>
              </w:rPr>
              <w:t xml:space="preserve"> and provide a more local service for patients</w:t>
            </w:r>
          </w:p>
        </w:tc>
      </w:tr>
      <w:tr w:rsidR="003D37C2" w:rsidRPr="00C725C3" w14:paraId="3450804F" w14:textId="77777777" w:rsidTr="00C725C3">
        <w:trPr>
          <w:cnfStyle w:val="000000100000" w:firstRow="0" w:lastRow="0" w:firstColumn="0" w:lastColumn="0" w:oddVBand="0" w:evenVBand="0" w:oddHBand="1" w:evenHBand="0" w:firstRowFirstColumn="0" w:firstRowLastColumn="0" w:lastRowFirstColumn="0" w:lastRowLastColumn="0"/>
          <w:trHeight w:val="584"/>
        </w:trPr>
        <w:tc>
          <w:tcPr>
            <w:tcW w:w="2195" w:type="dxa"/>
            <w:hideMark/>
          </w:tcPr>
          <w:p w14:paraId="441BEE5B" w14:textId="77777777" w:rsidR="003D37C2" w:rsidRPr="00C725C3" w:rsidRDefault="003D37C2" w:rsidP="00A92B8D">
            <w:pPr>
              <w:rPr>
                <w:rFonts w:eastAsia="Times New Roman" w:cs="Arial"/>
                <w:lang w:eastAsia="en-GB"/>
              </w:rPr>
            </w:pPr>
            <w:r w:rsidRPr="00C725C3">
              <w:rPr>
                <w:rFonts w:eastAsia="Times New Roman" w:cs="Arial"/>
                <w:color w:val="000000"/>
                <w:kern w:val="24"/>
                <w:lang w:eastAsia="en-GB"/>
              </w:rPr>
              <w:t>Cataract – ‘back end’ pathway</w:t>
            </w:r>
          </w:p>
        </w:tc>
        <w:tc>
          <w:tcPr>
            <w:tcW w:w="11267" w:type="dxa"/>
            <w:hideMark/>
          </w:tcPr>
          <w:p w14:paraId="7E93EAF4" w14:textId="77777777" w:rsidR="003D37C2" w:rsidRPr="00C725C3" w:rsidRDefault="003D37C2" w:rsidP="00A92B8D">
            <w:pPr>
              <w:rPr>
                <w:rFonts w:eastAsia="Times New Roman" w:cs="Arial"/>
                <w:lang w:eastAsia="en-GB"/>
              </w:rPr>
            </w:pPr>
            <w:r w:rsidRPr="00C725C3">
              <w:rPr>
                <w:rFonts w:eastAsia="Times New Roman" w:cs="Arial"/>
                <w:color w:val="000000"/>
                <w:kern w:val="24"/>
                <w:lang w:eastAsia="en-GB"/>
              </w:rPr>
              <w:t xml:space="preserve">Manage post-operative cataract reviews from secondary care to community optometrists. This should lead to a reduction in OPFU appointments in secondary care </w:t>
            </w:r>
            <w:proofErr w:type="gramStart"/>
            <w:r w:rsidRPr="00C725C3">
              <w:rPr>
                <w:rFonts w:eastAsia="Times New Roman" w:cs="Arial"/>
                <w:color w:val="000000"/>
                <w:kern w:val="24"/>
                <w:lang w:eastAsia="en-GB"/>
              </w:rPr>
              <w:t>and also</w:t>
            </w:r>
            <w:proofErr w:type="gramEnd"/>
            <w:r w:rsidRPr="00C725C3">
              <w:rPr>
                <w:rFonts w:eastAsia="Times New Roman" w:cs="Arial"/>
                <w:color w:val="000000"/>
                <w:kern w:val="24"/>
                <w:lang w:eastAsia="en-GB"/>
              </w:rPr>
              <w:t xml:space="preserve"> a cost saving (from those performed by the IS)</w:t>
            </w:r>
          </w:p>
        </w:tc>
      </w:tr>
      <w:tr w:rsidR="003D37C2" w:rsidRPr="00C725C3" w14:paraId="33BFCCA2" w14:textId="77777777" w:rsidTr="00C725C3">
        <w:trPr>
          <w:trHeight w:val="584"/>
        </w:trPr>
        <w:tc>
          <w:tcPr>
            <w:tcW w:w="2195" w:type="dxa"/>
            <w:hideMark/>
          </w:tcPr>
          <w:p w14:paraId="0F571B43" w14:textId="77777777" w:rsidR="003D37C2" w:rsidRPr="00C725C3" w:rsidRDefault="003D37C2" w:rsidP="00A92B8D">
            <w:pPr>
              <w:rPr>
                <w:rFonts w:eastAsia="Times New Roman" w:cs="Arial"/>
                <w:lang w:eastAsia="en-GB"/>
              </w:rPr>
            </w:pPr>
            <w:r w:rsidRPr="00C725C3">
              <w:rPr>
                <w:rFonts w:eastAsia="Times New Roman" w:cs="Arial"/>
                <w:color w:val="000000"/>
                <w:kern w:val="24"/>
                <w:lang w:eastAsia="en-GB"/>
              </w:rPr>
              <w:t>Cataract – one stop shop</w:t>
            </w:r>
          </w:p>
        </w:tc>
        <w:tc>
          <w:tcPr>
            <w:tcW w:w="11267" w:type="dxa"/>
            <w:hideMark/>
          </w:tcPr>
          <w:p w14:paraId="1BBD9489" w14:textId="77777777" w:rsidR="003D37C2" w:rsidRPr="00C725C3" w:rsidRDefault="003D37C2" w:rsidP="00A92B8D">
            <w:pPr>
              <w:rPr>
                <w:rFonts w:eastAsia="Times New Roman" w:cs="Arial"/>
                <w:lang w:eastAsia="en-GB"/>
              </w:rPr>
            </w:pPr>
            <w:r w:rsidRPr="00C725C3">
              <w:rPr>
                <w:rFonts w:eastAsia="Times New Roman" w:cs="Arial"/>
                <w:color w:val="000000"/>
                <w:kern w:val="24"/>
                <w:lang w:eastAsia="en-GB"/>
              </w:rPr>
              <w:t>Patients will attend secondary care for a single appointment, with any additional work up required done in the same appointment as surgery, reducing unnecessary outpatient appointments</w:t>
            </w:r>
          </w:p>
        </w:tc>
      </w:tr>
      <w:tr w:rsidR="003D37C2" w:rsidRPr="00C725C3" w14:paraId="7305C3A7" w14:textId="77777777" w:rsidTr="00C725C3">
        <w:trPr>
          <w:cnfStyle w:val="000000100000" w:firstRow="0" w:lastRow="0" w:firstColumn="0" w:lastColumn="0" w:oddVBand="0" w:evenVBand="0" w:oddHBand="1" w:evenHBand="0" w:firstRowFirstColumn="0" w:firstRowLastColumn="0" w:lastRowFirstColumn="0" w:lastRowLastColumn="0"/>
          <w:trHeight w:val="584"/>
        </w:trPr>
        <w:tc>
          <w:tcPr>
            <w:tcW w:w="2195" w:type="dxa"/>
            <w:hideMark/>
          </w:tcPr>
          <w:p w14:paraId="601A210A" w14:textId="77777777" w:rsidR="003D37C2" w:rsidRPr="00C725C3" w:rsidRDefault="003D37C2" w:rsidP="00A92B8D">
            <w:pPr>
              <w:rPr>
                <w:rFonts w:eastAsia="Times New Roman" w:cs="Arial"/>
                <w:lang w:eastAsia="en-GB"/>
              </w:rPr>
            </w:pPr>
            <w:r w:rsidRPr="00C725C3">
              <w:rPr>
                <w:rFonts w:eastAsia="Times New Roman" w:cs="Arial"/>
                <w:color w:val="000000"/>
                <w:kern w:val="24"/>
                <w:lang w:eastAsia="en-GB"/>
              </w:rPr>
              <w:t>Glaucoma – repeat measures</w:t>
            </w:r>
          </w:p>
        </w:tc>
        <w:tc>
          <w:tcPr>
            <w:tcW w:w="11267" w:type="dxa"/>
            <w:hideMark/>
          </w:tcPr>
          <w:p w14:paraId="657273B1" w14:textId="77777777" w:rsidR="003D37C2" w:rsidRPr="00C725C3" w:rsidRDefault="003D37C2" w:rsidP="00A92B8D">
            <w:pPr>
              <w:rPr>
                <w:rFonts w:eastAsia="Times New Roman" w:cs="Arial"/>
                <w:lang w:eastAsia="en-GB"/>
              </w:rPr>
            </w:pPr>
            <w:r w:rsidRPr="00C725C3">
              <w:rPr>
                <w:rFonts w:eastAsia="Times New Roman" w:cs="Arial"/>
                <w:color w:val="000000"/>
                <w:kern w:val="24"/>
                <w:lang w:eastAsia="en-GB"/>
              </w:rPr>
              <w:t>Patients with pressures between certain values have an additional appointment to re-measure and check visual field. Referrals are then only made to secondary care when pressures are still high/ abnormal visual field results resulting in a reduction of referrals into secondary care</w:t>
            </w:r>
          </w:p>
        </w:tc>
      </w:tr>
      <w:tr w:rsidR="003D37C2" w:rsidRPr="00C725C3" w14:paraId="55DA14FF" w14:textId="77777777" w:rsidTr="00C725C3">
        <w:trPr>
          <w:trHeight w:val="584"/>
        </w:trPr>
        <w:tc>
          <w:tcPr>
            <w:tcW w:w="2195" w:type="dxa"/>
            <w:hideMark/>
          </w:tcPr>
          <w:p w14:paraId="3F2FE058" w14:textId="77777777" w:rsidR="003D37C2" w:rsidRPr="00C725C3" w:rsidRDefault="003D37C2" w:rsidP="00A92B8D">
            <w:pPr>
              <w:rPr>
                <w:rFonts w:eastAsia="Times New Roman" w:cs="Arial"/>
                <w:lang w:eastAsia="en-GB"/>
              </w:rPr>
            </w:pPr>
            <w:r w:rsidRPr="00C725C3">
              <w:rPr>
                <w:rFonts w:eastAsia="Times New Roman" w:cs="Arial"/>
                <w:color w:val="000000"/>
                <w:kern w:val="24"/>
                <w:lang w:eastAsia="en-GB"/>
              </w:rPr>
              <w:t>Glaucoma – enhanced case finding</w:t>
            </w:r>
          </w:p>
        </w:tc>
        <w:tc>
          <w:tcPr>
            <w:tcW w:w="11267" w:type="dxa"/>
            <w:hideMark/>
          </w:tcPr>
          <w:p w14:paraId="2ABE616B" w14:textId="77777777" w:rsidR="003D37C2" w:rsidRPr="00C725C3" w:rsidRDefault="003D37C2" w:rsidP="00A92B8D">
            <w:pPr>
              <w:rPr>
                <w:rFonts w:eastAsia="Times New Roman" w:cs="Arial"/>
                <w:lang w:eastAsia="en-GB"/>
              </w:rPr>
            </w:pPr>
            <w:r w:rsidRPr="00C725C3">
              <w:rPr>
                <w:rFonts w:eastAsia="Times New Roman" w:cs="Arial"/>
                <w:color w:val="000000"/>
                <w:kern w:val="24"/>
                <w:lang w:eastAsia="en-GB"/>
              </w:rPr>
              <w:t xml:space="preserve">Further testing for symptoms such as narrow </w:t>
            </w:r>
            <w:proofErr w:type="spellStart"/>
            <w:r w:rsidRPr="00C725C3">
              <w:rPr>
                <w:rFonts w:eastAsia="Times New Roman" w:cs="Arial"/>
                <w:color w:val="000000"/>
                <w:kern w:val="24"/>
                <w:lang w:eastAsia="en-GB"/>
              </w:rPr>
              <w:t>occludable</w:t>
            </w:r>
            <w:proofErr w:type="spellEnd"/>
            <w:r w:rsidRPr="00C725C3">
              <w:rPr>
                <w:rFonts w:eastAsia="Times New Roman" w:cs="Arial"/>
                <w:color w:val="000000"/>
                <w:kern w:val="24"/>
                <w:lang w:eastAsia="en-GB"/>
              </w:rPr>
              <w:t xml:space="preserve"> angle or suspicious shaped discs with non-conclusive pressures</w:t>
            </w:r>
          </w:p>
        </w:tc>
      </w:tr>
      <w:tr w:rsidR="003D37C2" w:rsidRPr="00C725C3" w14:paraId="1FAC7F7A" w14:textId="77777777" w:rsidTr="00C725C3">
        <w:trPr>
          <w:cnfStyle w:val="000000100000" w:firstRow="0" w:lastRow="0" w:firstColumn="0" w:lastColumn="0" w:oddVBand="0" w:evenVBand="0" w:oddHBand="1" w:evenHBand="0" w:firstRowFirstColumn="0" w:firstRowLastColumn="0" w:lastRowFirstColumn="0" w:lastRowLastColumn="0"/>
          <w:trHeight w:val="584"/>
        </w:trPr>
        <w:tc>
          <w:tcPr>
            <w:tcW w:w="2195" w:type="dxa"/>
            <w:hideMark/>
          </w:tcPr>
          <w:p w14:paraId="2A646E41" w14:textId="77777777" w:rsidR="003D37C2" w:rsidRPr="00C725C3" w:rsidRDefault="003D37C2" w:rsidP="00A92B8D">
            <w:pPr>
              <w:rPr>
                <w:rFonts w:eastAsia="Times New Roman" w:cs="Arial"/>
                <w:lang w:eastAsia="en-GB"/>
              </w:rPr>
            </w:pPr>
            <w:r w:rsidRPr="00C725C3">
              <w:rPr>
                <w:rFonts w:eastAsia="Times New Roman" w:cs="Arial"/>
                <w:color w:val="000000"/>
                <w:kern w:val="24"/>
                <w:lang w:eastAsia="en-GB"/>
              </w:rPr>
              <w:t>Glaucoma – tier 3 service</w:t>
            </w:r>
          </w:p>
        </w:tc>
        <w:tc>
          <w:tcPr>
            <w:tcW w:w="11267" w:type="dxa"/>
            <w:hideMark/>
          </w:tcPr>
          <w:p w14:paraId="69E67180" w14:textId="77777777" w:rsidR="003D37C2" w:rsidRPr="00C725C3" w:rsidRDefault="003D37C2" w:rsidP="00A92B8D">
            <w:pPr>
              <w:rPr>
                <w:rFonts w:eastAsia="Times New Roman" w:cs="Arial"/>
                <w:lang w:eastAsia="en-GB"/>
              </w:rPr>
            </w:pPr>
            <w:r w:rsidRPr="00C725C3">
              <w:rPr>
                <w:rFonts w:eastAsia="Times New Roman" w:cs="Arial"/>
                <w:color w:val="000000"/>
                <w:kern w:val="24"/>
                <w:lang w:eastAsia="en-GB"/>
              </w:rPr>
              <w:t>Service is designed to allow more patients to be managed in the community depending on results from repeat measures or enhanced case finding, by risk stratifying and only referring high risk patients onwards. Pilots in other parts of England have shown 70% and 50% reductions of patients being referred onwards respectively</w:t>
            </w:r>
          </w:p>
        </w:tc>
      </w:tr>
      <w:tr w:rsidR="003D37C2" w:rsidRPr="00C725C3" w14:paraId="71FB77C5" w14:textId="77777777" w:rsidTr="00C725C3">
        <w:trPr>
          <w:trHeight w:val="584"/>
        </w:trPr>
        <w:tc>
          <w:tcPr>
            <w:tcW w:w="2195" w:type="dxa"/>
            <w:hideMark/>
          </w:tcPr>
          <w:p w14:paraId="37A331AE" w14:textId="77777777" w:rsidR="003D37C2" w:rsidRPr="00C725C3" w:rsidRDefault="003D37C2" w:rsidP="00A92B8D">
            <w:pPr>
              <w:rPr>
                <w:rFonts w:eastAsia="Times New Roman" w:cs="Arial"/>
                <w:lang w:eastAsia="en-GB"/>
              </w:rPr>
            </w:pPr>
            <w:r w:rsidRPr="00C725C3">
              <w:rPr>
                <w:rFonts w:eastAsia="Times New Roman" w:cs="Arial"/>
                <w:color w:val="000000"/>
                <w:kern w:val="24"/>
                <w:lang w:eastAsia="en-GB"/>
              </w:rPr>
              <w:t>Wet AMD – ‘back end’ pathway</w:t>
            </w:r>
          </w:p>
        </w:tc>
        <w:tc>
          <w:tcPr>
            <w:tcW w:w="11267" w:type="dxa"/>
            <w:hideMark/>
          </w:tcPr>
          <w:p w14:paraId="0AB5A932" w14:textId="77777777" w:rsidR="003D37C2" w:rsidRPr="00C725C3" w:rsidRDefault="003D37C2" w:rsidP="00A92B8D">
            <w:pPr>
              <w:rPr>
                <w:rFonts w:eastAsia="Times New Roman" w:cs="Arial"/>
                <w:lang w:eastAsia="en-GB"/>
              </w:rPr>
            </w:pPr>
            <w:r w:rsidRPr="00C725C3">
              <w:rPr>
                <w:rFonts w:eastAsia="Times New Roman" w:cs="Arial"/>
                <w:color w:val="000000"/>
                <w:kern w:val="24"/>
                <w:lang w:eastAsia="en-GB"/>
              </w:rPr>
              <w:t>Management of stable patients in the community, which would help to reduce OPFUs</w:t>
            </w:r>
          </w:p>
        </w:tc>
      </w:tr>
      <w:tr w:rsidR="003D37C2" w:rsidRPr="00C725C3" w14:paraId="5ABEB7B4" w14:textId="77777777" w:rsidTr="00C725C3">
        <w:trPr>
          <w:cnfStyle w:val="000000100000" w:firstRow="0" w:lastRow="0" w:firstColumn="0" w:lastColumn="0" w:oddVBand="0" w:evenVBand="0" w:oddHBand="1" w:evenHBand="0" w:firstRowFirstColumn="0" w:firstRowLastColumn="0" w:lastRowFirstColumn="0" w:lastRowLastColumn="0"/>
          <w:trHeight w:val="584"/>
        </w:trPr>
        <w:tc>
          <w:tcPr>
            <w:tcW w:w="2195" w:type="dxa"/>
            <w:hideMark/>
          </w:tcPr>
          <w:p w14:paraId="572EC616" w14:textId="77777777" w:rsidR="003D37C2" w:rsidRPr="00C725C3" w:rsidRDefault="003D37C2" w:rsidP="00A92B8D">
            <w:pPr>
              <w:rPr>
                <w:rFonts w:eastAsia="Times New Roman" w:cs="Arial"/>
                <w:lang w:eastAsia="en-GB"/>
              </w:rPr>
            </w:pPr>
            <w:proofErr w:type="spellStart"/>
            <w:r w:rsidRPr="00C725C3">
              <w:rPr>
                <w:rFonts w:eastAsia="Times New Roman" w:cs="Arial"/>
                <w:color w:val="000000"/>
                <w:kern w:val="24"/>
                <w:lang w:eastAsia="en-GB"/>
              </w:rPr>
              <w:t>EeRS</w:t>
            </w:r>
            <w:proofErr w:type="spellEnd"/>
            <w:r w:rsidRPr="00C725C3">
              <w:rPr>
                <w:rFonts w:eastAsia="Times New Roman" w:cs="Arial"/>
                <w:color w:val="000000"/>
                <w:kern w:val="24"/>
                <w:lang w:eastAsia="en-GB"/>
              </w:rPr>
              <w:t xml:space="preserve"> Project</w:t>
            </w:r>
          </w:p>
        </w:tc>
        <w:tc>
          <w:tcPr>
            <w:tcW w:w="11267" w:type="dxa"/>
            <w:hideMark/>
          </w:tcPr>
          <w:p w14:paraId="38722E35" w14:textId="77777777" w:rsidR="003D37C2" w:rsidRPr="00C725C3" w:rsidRDefault="003D37C2" w:rsidP="00A92B8D">
            <w:pPr>
              <w:rPr>
                <w:rFonts w:eastAsia="Times New Roman" w:cs="Arial"/>
                <w:lang w:eastAsia="en-GB"/>
              </w:rPr>
            </w:pPr>
            <w:r w:rsidRPr="00C725C3">
              <w:rPr>
                <w:rFonts w:eastAsia="Times New Roman" w:cs="Arial"/>
                <w:color w:val="000000"/>
                <w:kern w:val="24"/>
                <w:lang w:eastAsia="en-GB"/>
              </w:rPr>
              <w:t xml:space="preserve">National roll out of electronic referral system accessible by optometrists, which will improve referral quality </w:t>
            </w:r>
            <w:proofErr w:type="gramStart"/>
            <w:r w:rsidRPr="00C725C3">
              <w:rPr>
                <w:rFonts w:eastAsia="Times New Roman" w:cs="Arial"/>
                <w:color w:val="000000"/>
                <w:kern w:val="24"/>
                <w:lang w:eastAsia="en-GB"/>
              </w:rPr>
              <w:t>and also</w:t>
            </w:r>
            <w:proofErr w:type="gramEnd"/>
            <w:r w:rsidRPr="00C725C3">
              <w:rPr>
                <w:rFonts w:eastAsia="Times New Roman" w:cs="Arial"/>
                <w:color w:val="000000"/>
                <w:kern w:val="24"/>
                <w:lang w:eastAsia="en-GB"/>
              </w:rPr>
              <w:t xml:space="preserve"> ensure that referrals are made to the right service at the right time</w:t>
            </w:r>
          </w:p>
        </w:tc>
      </w:tr>
    </w:tbl>
    <w:p w14:paraId="27C257AD" w14:textId="60C1ABCE" w:rsidR="00A92B8D" w:rsidRPr="00C725C3" w:rsidRDefault="00A92B8D"/>
    <w:sectPr w:rsidR="00A92B8D" w:rsidRPr="00C725C3" w:rsidSect="00A92B8D">
      <w:pgSz w:w="16838" w:h="11906" w:orient="landscape"/>
      <w:pgMar w:top="56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54546A"/>
    <w:multiLevelType w:val="hybridMultilevel"/>
    <w:tmpl w:val="5DC002F6"/>
    <w:lvl w:ilvl="0" w:tplc="15E2FDC6">
      <w:start w:val="1"/>
      <w:numFmt w:val="bullet"/>
      <w:lvlText w:val="•"/>
      <w:lvlJc w:val="left"/>
      <w:pPr>
        <w:tabs>
          <w:tab w:val="num" w:pos="720"/>
        </w:tabs>
        <w:ind w:left="720" w:hanging="360"/>
      </w:pPr>
      <w:rPr>
        <w:rFonts w:ascii="Arial" w:hAnsi="Arial" w:hint="default"/>
      </w:rPr>
    </w:lvl>
    <w:lvl w:ilvl="1" w:tplc="3C8C3354" w:tentative="1">
      <w:start w:val="1"/>
      <w:numFmt w:val="bullet"/>
      <w:lvlText w:val="•"/>
      <w:lvlJc w:val="left"/>
      <w:pPr>
        <w:tabs>
          <w:tab w:val="num" w:pos="1440"/>
        </w:tabs>
        <w:ind w:left="1440" w:hanging="360"/>
      </w:pPr>
      <w:rPr>
        <w:rFonts w:ascii="Arial" w:hAnsi="Arial" w:hint="default"/>
      </w:rPr>
    </w:lvl>
    <w:lvl w:ilvl="2" w:tplc="7944AD76" w:tentative="1">
      <w:start w:val="1"/>
      <w:numFmt w:val="bullet"/>
      <w:lvlText w:val="•"/>
      <w:lvlJc w:val="left"/>
      <w:pPr>
        <w:tabs>
          <w:tab w:val="num" w:pos="2160"/>
        </w:tabs>
        <w:ind w:left="2160" w:hanging="360"/>
      </w:pPr>
      <w:rPr>
        <w:rFonts w:ascii="Arial" w:hAnsi="Arial" w:hint="default"/>
      </w:rPr>
    </w:lvl>
    <w:lvl w:ilvl="3" w:tplc="23F6EE2A" w:tentative="1">
      <w:start w:val="1"/>
      <w:numFmt w:val="bullet"/>
      <w:lvlText w:val="•"/>
      <w:lvlJc w:val="left"/>
      <w:pPr>
        <w:tabs>
          <w:tab w:val="num" w:pos="2880"/>
        </w:tabs>
        <w:ind w:left="2880" w:hanging="360"/>
      </w:pPr>
      <w:rPr>
        <w:rFonts w:ascii="Arial" w:hAnsi="Arial" w:hint="default"/>
      </w:rPr>
    </w:lvl>
    <w:lvl w:ilvl="4" w:tplc="82AA55C2" w:tentative="1">
      <w:start w:val="1"/>
      <w:numFmt w:val="bullet"/>
      <w:lvlText w:val="•"/>
      <w:lvlJc w:val="left"/>
      <w:pPr>
        <w:tabs>
          <w:tab w:val="num" w:pos="3600"/>
        </w:tabs>
        <w:ind w:left="3600" w:hanging="360"/>
      </w:pPr>
      <w:rPr>
        <w:rFonts w:ascii="Arial" w:hAnsi="Arial" w:hint="default"/>
      </w:rPr>
    </w:lvl>
    <w:lvl w:ilvl="5" w:tplc="56BE09F0" w:tentative="1">
      <w:start w:val="1"/>
      <w:numFmt w:val="bullet"/>
      <w:lvlText w:val="•"/>
      <w:lvlJc w:val="left"/>
      <w:pPr>
        <w:tabs>
          <w:tab w:val="num" w:pos="4320"/>
        </w:tabs>
        <w:ind w:left="4320" w:hanging="360"/>
      </w:pPr>
      <w:rPr>
        <w:rFonts w:ascii="Arial" w:hAnsi="Arial" w:hint="default"/>
      </w:rPr>
    </w:lvl>
    <w:lvl w:ilvl="6" w:tplc="7AC8DCE4" w:tentative="1">
      <w:start w:val="1"/>
      <w:numFmt w:val="bullet"/>
      <w:lvlText w:val="•"/>
      <w:lvlJc w:val="left"/>
      <w:pPr>
        <w:tabs>
          <w:tab w:val="num" w:pos="5040"/>
        </w:tabs>
        <w:ind w:left="5040" w:hanging="360"/>
      </w:pPr>
      <w:rPr>
        <w:rFonts w:ascii="Arial" w:hAnsi="Arial" w:hint="default"/>
      </w:rPr>
    </w:lvl>
    <w:lvl w:ilvl="7" w:tplc="AD76F9B0" w:tentative="1">
      <w:start w:val="1"/>
      <w:numFmt w:val="bullet"/>
      <w:lvlText w:val="•"/>
      <w:lvlJc w:val="left"/>
      <w:pPr>
        <w:tabs>
          <w:tab w:val="num" w:pos="5760"/>
        </w:tabs>
        <w:ind w:left="5760" w:hanging="360"/>
      </w:pPr>
      <w:rPr>
        <w:rFonts w:ascii="Arial" w:hAnsi="Arial" w:hint="default"/>
      </w:rPr>
    </w:lvl>
    <w:lvl w:ilvl="8" w:tplc="7DDE321E" w:tentative="1">
      <w:start w:val="1"/>
      <w:numFmt w:val="bullet"/>
      <w:lvlText w:val="•"/>
      <w:lvlJc w:val="left"/>
      <w:pPr>
        <w:tabs>
          <w:tab w:val="num" w:pos="6480"/>
        </w:tabs>
        <w:ind w:left="6480" w:hanging="360"/>
      </w:pPr>
      <w:rPr>
        <w:rFonts w:ascii="Arial" w:hAnsi="Arial" w:hint="default"/>
      </w:rPr>
    </w:lvl>
  </w:abstractNum>
  <w:num w:numId="1" w16cid:durableId="1637447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B8D"/>
    <w:rsid w:val="003D37C2"/>
    <w:rsid w:val="004773FF"/>
    <w:rsid w:val="00A92B8D"/>
    <w:rsid w:val="00C725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C2B25"/>
  <w15:chartTrackingRefBased/>
  <w15:docId w15:val="{85EA02E1-9051-4C7E-A4EC-12E98D938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1">
    <w:name w:val="Grid Table 4 Accent 1"/>
    <w:basedOn w:val="TableNormal"/>
    <w:uiPriority w:val="49"/>
    <w:rsid w:val="00C725C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126965">
      <w:bodyDiv w:val="1"/>
      <w:marLeft w:val="0"/>
      <w:marRight w:val="0"/>
      <w:marTop w:val="0"/>
      <w:marBottom w:val="0"/>
      <w:divBdr>
        <w:top w:val="none" w:sz="0" w:space="0" w:color="auto"/>
        <w:left w:val="none" w:sz="0" w:space="0" w:color="auto"/>
        <w:bottom w:val="none" w:sz="0" w:space="0" w:color="auto"/>
        <w:right w:val="none" w:sz="0" w:space="0" w:color="auto"/>
      </w:divBdr>
      <w:divsChild>
        <w:div w:id="124541396">
          <w:marLeft w:val="274"/>
          <w:marRight w:val="0"/>
          <w:marTop w:val="0"/>
          <w:marBottom w:val="0"/>
          <w:divBdr>
            <w:top w:val="none" w:sz="0" w:space="0" w:color="auto"/>
            <w:left w:val="none" w:sz="0" w:space="0" w:color="auto"/>
            <w:bottom w:val="none" w:sz="0" w:space="0" w:color="auto"/>
            <w:right w:val="none" w:sz="0" w:space="0" w:color="auto"/>
          </w:divBdr>
        </w:div>
        <w:div w:id="1345982185">
          <w:marLeft w:val="274"/>
          <w:marRight w:val="0"/>
          <w:marTop w:val="0"/>
          <w:marBottom w:val="0"/>
          <w:divBdr>
            <w:top w:val="none" w:sz="0" w:space="0" w:color="auto"/>
            <w:left w:val="none" w:sz="0" w:space="0" w:color="auto"/>
            <w:bottom w:val="none" w:sz="0" w:space="0" w:color="auto"/>
            <w:right w:val="none" w:sz="0" w:space="0" w:color="auto"/>
          </w:divBdr>
        </w:div>
        <w:div w:id="1633632311">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330</Words>
  <Characters>1881</Characters>
  <Application>Microsoft Office Word</Application>
  <DocSecurity>0</DocSecurity>
  <Lines>15</Lines>
  <Paragraphs>4</Paragraphs>
  <ScaleCrop>false</ScaleCrop>
  <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Marsh (QNC) SSOT ICB</dc:creator>
  <cp:keywords/>
  <dc:description/>
  <cp:lastModifiedBy>Andrea Brown (QNC) SSOT ICB</cp:lastModifiedBy>
  <cp:revision>3</cp:revision>
  <dcterms:created xsi:type="dcterms:W3CDTF">2023-09-27T15:44:00Z</dcterms:created>
  <dcterms:modified xsi:type="dcterms:W3CDTF">2023-10-02T11:36:00Z</dcterms:modified>
</cp:coreProperties>
</file>