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1905B" w14:textId="77777777" w:rsidR="00C43CC8" w:rsidRDefault="00C43CC8" w:rsidP="00C43CC8">
      <w:pPr>
        <w:jc w:val="center"/>
        <w:rPr>
          <w:b/>
          <w:bCs/>
          <w:sz w:val="28"/>
          <w:szCs w:val="28"/>
        </w:rPr>
      </w:pPr>
    </w:p>
    <w:p w14:paraId="0836CCA9" w14:textId="10812984" w:rsidR="00C43CC8" w:rsidRPr="00C43CC8" w:rsidRDefault="00F427BF" w:rsidP="00C43CC8">
      <w:pPr>
        <w:jc w:val="center"/>
        <w:rPr>
          <w:b/>
          <w:bCs/>
          <w:sz w:val="28"/>
          <w:szCs w:val="28"/>
        </w:rPr>
      </w:pPr>
      <w:r>
        <w:rPr>
          <w:b/>
          <w:bCs/>
          <w:sz w:val="28"/>
          <w:szCs w:val="28"/>
        </w:rPr>
        <w:t>Prejudice</w:t>
      </w:r>
      <w:r w:rsidR="00C43CC8" w:rsidRPr="00C43CC8">
        <w:rPr>
          <w:b/>
          <w:bCs/>
          <w:sz w:val="28"/>
          <w:szCs w:val="28"/>
        </w:rPr>
        <w:t xml:space="preserve"> Test</w:t>
      </w:r>
    </w:p>
    <w:tbl>
      <w:tblPr>
        <w:tblStyle w:val="TableGrid"/>
        <w:tblW w:w="0" w:type="auto"/>
        <w:tblInd w:w="-113" w:type="dxa"/>
        <w:tblLook w:val="04A0" w:firstRow="1" w:lastRow="0" w:firstColumn="1" w:lastColumn="0" w:noHBand="0" w:noVBand="1"/>
      </w:tblPr>
      <w:tblGrid>
        <w:gridCol w:w="9129"/>
      </w:tblGrid>
      <w:tr w:rsidR="00C43CC8" w:rsidRPr="00C43CC8" w14:paraId="2AA1287D" w14:textId="77777777" w:rsidTr="00FD66E0">
        <w:tc>
          <w:tcPr>
            <w:tcW w:w="9129" w:type="dxa"/>
          </w:tcPr>
          <w:p w14:paraId="4AC69C27" w14:textId="3003D7C8" w:rsidR="00C43CC8" w:rsidRPr="00C43CC8" w:rsidRDefault="00C43CC8" w:rsidP="00C43CC8">
            <w:pPr>
              <w:jc w:val="center"/>
              <w:rPr>
                <w:b/>
                <w:bCs/>
                <w:sz w:val="28"/>
                <w:szCs w:val="28"/>
              </w:rPr>
            </w:pPr>
            <w:r w:rsidRPr="00C43CC8">
              <w:rPr>
                <w:b/>
                <w:bCs/>
                <w:sz w:val="28"/>
                <w:szCs w:val="28"/>
              </w:rPr>
              <w:t>Request for FOI</w:t>
            </w:r>
            <w:r w:rsidR="00F427BF">
              <w:rPr>
                <w:b/>
                <w:bCs/>
                <w:sz w:val="28"/>
                <w:szCs w:val="28"/>
              </w:rPr>
              <w:t xml:space="preserve">-06-421 </w:t>
            </w:r>
            <w:r w:rsidRPr="00C43CC8">
              <w:rPr>
                <w:b/>
                <w:bCs/>
                <w:sz w:val="28"/>
                <w:szCs w:val="28"/>
              </w:rPr>
              <w:t>Information</w:t>
            </w:r>
          </w:p>
          <w:p w14:paraId="089A8306" w14:textId="0AF742B4" w:rsidR="00C43CC8" w:rsidRPr="00C43CC8" w:rsidRDefault="00C43CC8" w:rsidP="00C43CC8">
            <w:pPr>
              <w:jc w:val="center"/>
              <w:rPr>
                <w:b/>
                <w:bCs/>
                <w:sz w:val="28"/>
                <w:szCs w:val="28"/>
              </w:rPr>
            </w:pPr>
          </w:p>
        </w:tc>
      </w:tr>
      <w:tr w:rsidR="00C43CC8" w:rsidRPr="00C43CC8" w14:paraId="2C5048C8" w14:textId="77777777" w:rsidTr="00FD66E0">
        <w:tc>
          <w:tcPr>
            <w:tcW w:w="9129" w:type="dxa"/>
          </w:tcPr>
          <w:p w14:paraId="4EB0D5BE" w14:textId="7885DE26" w:rsidR="00C43CC8" w:rsidRDefault="00C43CC8" w:rsidP="00C43CC8">
            <w:pPr>
              <w:jc w:val="center"/>
              <w:rPr>
                <w:b/>
                <w:bCs/>
                <w:sz w:val="28"/>
                <w:szCs w:val="28"/>
              </w:rPr>
            </w:pPr>
            <w:r w:rsidRPr="00C43CC8">
              <w:rPr>
                <w:b/>
                <w:bCs/>
                <w:sz w:val="28"/>
                <w:szCs w:val="28"/>
              </w:rPr>
              <w:t>FOIA Exemption S.4</w:t>
            </w:r>
            <w:r w:rsidR="005A5E9B">
              <w:rPr>
                <w:b/>
                <w:bCs/>
                <w:sz w:val="28"/>
                <w:szCs w:val="28"/>
              </w:rPr>
              <w:t>3</w:t>
            </w:r>
            <w:r w:rsidR="00B703AC">
              <w:rPr>
                <w:b/>
                <w:bCs/>
                <w:sz w:val="28"/>
                <w:szCs w:val="28"/>
              </w:rPr>
              <w:t xml:space="preserve"> </w:t>
            </w:r>
            <w:r w:rsidR="00F53EB3">
              <w:rPr>
                <w:b/>
                <w:bCs/>
                <w:sz w:val="28"/>
                <w:szCs w:val="28"/>
              </w:rPr>
              <w:t>(2)</w:t>
            </w:r>
            <w:r w:rsidRPr="00C43CC8">
              <w:rPr>
                <w:b/>
                <w:bCs/>
                <w:sz w:val="28"/>
                <w:szCs w:val="28"/>
              </w:rPr>
              <w:t xml:space="preserve"> – Commercial Interests</w:t>
            </w:r>
          </w:p>
          <w:p w14:paraId="70ACB2B2" w14:textId="147103F0" w:rsidR="00C43CC8" w:rsidRPr="00C43CC8" w:rsidRDefault="00C43CC8" w:rsidP="00F427BF">
            <w:pPr>
              <w:jc w:val="center"/>
              <w:rPr>
                <w:b/>
                <w:bCs/>
                <w:sz w:val="28"/>
                <w:szCs w:val="28"/>
              </w:rPr>
            </w:pPr>
          </w:p>
        </w:tc>
      </w:tr>
      <w:tr w:rsidR="008C3EDC" w:rsidRPr="00C43CC8" w14:paraId="1CEA3045" w14:textId="77777777" w:rsidTr="00FD66E0">
        <w:tc>
          <w:tcPr>
            <w:tcW w:w="9129" w:type="dxa"/>
          </w:tcPr>
          <w:p w14:paraId="3C9449EB" w14:textId="1FE48714" w:rsidR="008C3EDC" w:rsidRDefault="008C3EDC" w:rsidP="00B62B3A">
            <w:pPr>
              <w:rPr>
                <w:b/>
                <w:bCs/>
                <w:sz w:val="24"/>
                <w:szCs w:val="24"/>
              </w:rPr>
            </w:pPr>
            <w:r w:rsidRPr="00C43CC8">
              <w:rPr>
                <w:b/>
                <w:bCs/>
                <w:sz w:val="24"/>
                <w:szCs w:val="24"/>
              </w:rPr>
              <w:t xml:space="preserve">Factors </w:t>
            </w:r>
            <w:r>
              <w:rPr>
                <w:b/>
                <w:bCs/>
                <w:sz w:val="24"/>
                <w:szCs w:val="24"/>
              </w:rPr>
              <w:t>to be considered:</w:t>
            </w:r>
          </w:p>
          <w:p w14:paraId="36F98182" w14:textId="39B70053" w:rsidR="008C3EDC" w:rsidRPr="00C43CC8" w:rsidRDefault="008C3EDC" w:rsidP="00B62B3A">
            <w:pPr>
              <w:rPr>
                <w:b/>
                <w:bCs/>
                <w:sz w:val="24"/>
                <w:szCs w:val="24"/>
              </w:rPr>
            </w:pPr>
          </w:p>
        </w:tc>
      </w:tr>
      <w:tr w:rsidR="008C3EDC" w:rsidRPr="00C43CC8" w14:paraId="72DB5A7B" w14:textId="77777777" w:rsidTr="00FD66E0">
        <w:tc>
          <w:tcPr>
            <w:tcW w:w="9129" w:type="dxa"/>
          </w:tcPr>
          <w:p w14:paraId="3AF84775" w14:textId="77777777" w:rsidR="008C3EDC" w:rsidRPr="008C3EDC" w:rsidRDefault="008C3EDC" w:rsidP="008C3EDC">
            <w:pPr>
              <w:jc w:val="both"/>
              <w:rPr>
                <w:color w:val="000000" w:themeColor="text1"/>
                <w:sz w:val="24"/>
                <w:szCs w:val="24"/>
              </w:rPr>
            </w:pPr>
            <w:r w:rsidRPr="008C3EDC">
              <w:rPr>
                <w:color w:val="000000" w:themeColor="text1"/>
                <w:sz w:val="24"/>
                <w:szCs w:val="24"/>
              </w:rPr>
              <w:t>Information is exempt information if its disclosure under the FOI Act would or would be likely to prejudice the commercial interests of any person (including the public authority holding it).</w:t>
            </w:r>
          </w:p>
          <w:p w14:paraId="08ACB773" w14:textId="77777777" w:rsidR="008C3EDC" w:rsidRDefault="008C3EDC" w:rsidP="00B62B3A">
            <w:pPr>
              <w:rPr>
                <w:b/>
                <w:bCs/>
                <w:sz w:val="24"/>
                <w:szCs w:val="24"/>
              </w:rPr>
            </w:pPr>
          </w:p>
          <w:p w14:paraId="6506592B" w14:textId="34DE37DF" w:rsidR="008C3EDC" w:rsidRDefault="008C3EDC" w:rsidP="00FD66E0">
            <w:pPr>
              <w:pStyle w:val="ListParagraph"/>
              <w:numPr>
                <w:ilvl w:val="0"/>
                <w:numId w:val="8"/>
              </w:numPr>
              <w:jc w:val="both"/>
              <w:rPr>
                <w:color w:val="000000" w:themeColor="text1"/>
                <w:sz w:val="24"/>
                <w:szCs w:val="24"/>
              </w:rPr>
            </w:pPr>
            <w:r w:rsidRPr="000974BC">
              <w:rPr>
                <w:color w:val="000000" w:themeColor="text1"/>
                <w:sz w:val="24"/>
                <w:szCs w:val="24"/>
              </w:rPr>
              <w:t>The Invoices in question were all paid in full by the ICB as public authority, according to the guiding Better Payments Code of Conduct (BP</w:t>
            </w:r>
            <w:r w:rsidR="009A62AD">
              <w:rPr>
                <w:color w:val="000000" w:themeColor="text1"/>
                <w:sz w:val="24"/>
                <w:szCs w:val="24"/>
              </w:rPr>
              <w:t>P</w:t>
            </w:r>
            <w:r w:rsidRPr="000974BC">
              <w:rPr>
                <w:color w:val="000000" w:themeColor="text1"/>
                <w:sz w:val="24"/>
                <w:szCs w:val="24"/>
              </w:rPr>
              <w:t xml:space="preserve">C): </w:t>
            </w:r>
            <w:proofErr w:type="gramStart"/>
            <w:r w:rsidRPr="000974BC">
              <w:rPr>
                <w:color w:val="000000" w:themeColor="text1"/>
                <w:sz w:val="24"/>
                <w:szCs w:val="24"/>
              </w:rPr>
              <w:t>i.e.</w:t>
            </w:r>
            <w:proofErr w:type="gramEnd"/>
            <w:r w:rsidRPr="000974BC">
              <w:rPr>
                <w:color w:val="000000" w:themeColor="text1"/>
                <w:sz w:val="24"/>
                <w:szCs w:val="24"/>
              </w:rPr>
              <w:t xml:space="preserve"> 95% were paid in the timeframe expected; those outside of this are subject to Reg 113 of the PCR 2015; and these are subject to the Prejudice Test.</w:t>
            </w:r>
          </w:p>
          <w:p w14:paraId="4704BB80" w14:textId="77777777" w:rsidR="00FD66E0" w:rsidRPr="000974BC" w:rsidRDefault="00FD66E0" w:rsidP="00FD66E0">
            <w:pPr>
              <w:pStyle w:val="ListParagraph"/>
              <w:ind w:left="360"/>
              <w:jc w:val="both"/>
              <w:rPr>
                <w:color w:val="000000" w:themeColor="text1"/>
                <w:sz w:val="24"/>
                <w:szCs w:val="24"/>
              </w:rPr>
            </w:pPr>
          </w:p>
          <w:p w14:paraId="3F97AEC6" w14:textId="1B99EEA6" w:rsidR="008C3EDC" w:rsidRDefault="008C3EDC" w:rsidP="00FD66E0">
            <w:pPr>
              <w:pStyle w:val="NoSpacing"/>
              <w:numPr>
                <w:ilvl w:val="0"/>
                <w:numId w:val="8"/>
              </w:numPr>
              <w:jc w:val="both"/>
              <w:rPr>
                <w:rFonts w:ascii="Arial" w:hAnsi="Arial" w:cs="Arial"/>
                <w:color w:val="000000" w:themeColor="text1"/>
                <w:sz w:val="24"/>
                <w:szCs w:val="24"/>
              </w:rPr>
            </w:pPr>
            <w:r w:rsidRPr="000974BC">
              <w:rPr>
                <w:rFonts w:ascii="Arial" w:hAnsi="Arial" w:cs="Arial"/>
                <w:color w:val="000000" w:themeColor="text1"/>
                <w:sz w:val="24"/>
                <w:szCs w:val="24"/>
              </w:rPr>
              <w:t xml:space="preserve">Release of the late-paid Invoice Dates from past financial years relating to our predecessor NHS commissioning bodies, the CCGs named in the request would fall within the prejudice claimed being real, actual or of substance as this would allow an independent third party not part of the business arrangement leading to the invoice’s existence to potentially act as an intermediary in seeking post-event settlement of something that the contracted party themselves has not to date raised themselves historically. </w:t>
            </w:r>
          </w:p>
          <w:p w14:paraId="7253FFDD" w14:textId="77777777" w:rsidR="00FD66E0" w:rsidRDefault="00FD66E0" w:rsidP="00FD66E0">
            <w:pPr>
              <w:pStyle w:val="ListParagraph"/>
              <w:rPr>
                <w:color w:val="000000" w:themeColor="text1"/>
                <w:sz w:val="24"/>
                <w:szCs w:val="24"/>
              </w:rPr>
            </w:pPr>
          </w:p>
          <w:p w14:paraId="586E7883" w14:textId="1B8BB0DB" w:rsidR="008C3EDC" w:rsidRDefault="008C3EDC" w:rsidP="00FD66E0">
            <w:pPr>
              <w:pStyle w:val="NoSpacing"/>
              <w:numPr>
                <w:ilvl w:val="0"/>
                <w:numId w:val="8"/>
              </w:numPr>
              <w:jc w:val="both"/>
              <w:rPr>
                <w:rFonts w:ascii="Arial" w:hAnsi="Arial" w:cs="Arial"/>
                <w:color w:val="000000" w:themeColor="text1"/>
                <w:sz w:val="24"/>
                <w:szCs w:val="24"/>
              </w:rPr>
            </w:pPr>
            <w:r w:rsidRPr="000974BC">
              <w:rPr>
                <w:rFonts w:ascii="Arial" w:hAnsi="Arial" w:cs="Arial"/>
                <w:color w:val="000000" w:themeColor="text1"/>
                <w:sz w:val="24"/>
                <w:szCs w:val="24"/>
              </w:rPr>
              <w:t xml:space="preserve">This shows a direct causal link between our release of that information and any third party being most likely to be taking actions based on its disclosure </w:t>
            </w:r>
            <w:proofErr w:type="gramStart"/>
            <w:r w:rsidRPr="000974BC">
              <w:rPr>
                <w:rFonts w:ascii="Arial" w:hAnsi="Arial" w:cs="Arial"/>
                <w:color w:val="000000" w:themeColor="text1"/>
                <w:sz w:val="24"/>
                <w:szCs w:val="24"/>
              </w:rPr>
              <w:t>in order to</w:t>
            </w:r>
            <w:proofErr w:type="gramEnd"/>
            <w:r w:rsidRPr="000974BC">
              <w:rPr>
                <w:rFonts w:ascii="Arial" w:hAnsi="Arial" w:cs="Arial"/>
                <w:color w:val="000000" w:themeColor="text1"/>
                <w:sz w:val="24"/>
                <w:szCs w:val="24"/>
              </w:rPr>
              <w:t xml:space="preserve"> perform a secondary task unrelated to the activity that caused the invoice to be raised originally. As out-with the contractual relationship with the original provider of services.</w:t>
            </w:r>
          </w:p>
          <w:p w14:paraId="509ECD29" w14:textId="77777777" w:rsidR="00FD66E0" w:rsidRDefault="00FD66E0" w:rsidP="00FD66E0">
            <w:pPr>
              <w:pStyle w:val="ListParagraph"/>
              <w:rPr>
                <w:color w:val="000000" w:themeColor="text1"/>
                <w:sz w:val="24"/>
                <w:szCs w:val="24"/>
              </w:rPr>
            </w:pPr>
          </w:p>
          <w:p w14:paraId="513D6991" w14:textId="77777777" w:rsidR="008C3EDC" w:rsidRPr="000974BC" w:rsidRDefault="008C3EDC" w:rsidP="00FD66E0">
            <w:pPr>
              <w:pStyle w:val="NoSpacing"/>
              <w:numPr>
                <w:ilvl w:val="0"/>
                <w:numId w:val="8"/>
              </w:numPr>
              <w:jc w:val="both"/>
              <w:rPr>
                <w:rFonts w:ascii="Arial" w:hAnsi="Arial" w:cs="Arial"/>
                <w:color w:val="000000" w:themeColor="text1"/>
                <w:sz w:val="24"/>
                <w:szCs w:val="24"/>
              </w:rPr>
            </w:pPr>
            <w:r w:rsidRPr="000974BC">
              <w:rPr>
                <w:rFonts w:ascii="Arial" w:hAnsi="Arial" w:cs="Arial"/>
                <w:color w:val="000000" w:themeColor="text1"/>
                <w:sz w:val="24"/>
                <w:szCs w:val="24"/>
              </w:rPr>
              <w:t xml:space="preserve">This likelihood becomes greater when the original request was misconstruing the ICB as public authority’s actual Public Contracts Regulations 2015 obligations about mandatory disclosures of only certain aspects of contractor data in our annual statements of compliance with the PCR: e.g. the Annual Reports belonging to the CCGs, in those years, which information is aggregated in those disclosures and not contractor-identifiable, like forming the body of the FOI questions seeking disclosure of a contractor’s business information belonging to it and not the public authority nor the Requestor. </w:t>
            </w:r>
          </w:p>
          <w:p w14:paraId="48B164A2" w14:textId="3C07C1D5" w:rsidR="008C3EDC" w:rsidRDefault="008C3EDC" w:rsidP="008C3EDC">
            <w:pPr>
              <w:pStyle w:val="NoSpacing"/>
              <w:jc w:val="both"/>
              <w:rPr>
                <w:rFonts w:ascii="Arial" w:hAnsi="Arial" w:cs="Arial"/>
                <w:color w:val="000000" w:themeColor="text1"/>
                <w:sz w:val="24"/>
                <w:szCs w:val="24"/>
              </w:rPr>
            </w:pPr>
          </w:p>
          <w:p w14:paraId="10A3E046" w14:textId="60AE35BE" w:rsidR="008C3EDC" w:rsidRPr="008C3EDC" w:rsidRDefault="008C3EDC" w:rsidP="008C3EDC">
            <w:pPr>
              <w:pStyle w:val="NoSpacing"/>
              <w:jc w:val="both"/>
              <w:rPr>
                <w:rFonts w:ascii="Arial" w:hAnsi="Arial" w:cs="Arial"/>
                <w:b/>
                <w:bCs/>
                <w:color w:val="000000" w:themeColor="text1"/>
                <w:sz w:val="24"/>
                <w:szCs w:val="24"/>
              </w:rPr>
            </w:pPr>
            <w:r w:rsidRPr="008C3EDC">
              <w:rPr>
                <w:rFonts w:ascii="Arial" w:hAnsi="Arial" w:cs="Arial"/>
                <w:b/>
                <w:bCs/>
                <w:color w:val="000000" w:themeColor="text1"/>
                <w:sz w:val="24"/>
                <w:szCs w:val="24"/>
              </w:rPr>
              <w:t>Step 1 – our applicable interests:</w:t>
            </w:r>
          </w:p>
          <w:p w14:paraId="3B9CCC00" w14:textId="77777777" w:rsidR="008C3EDC" w:rsidRPr="000974BC" w:rsidRDefault="008C3EDC" w:rsidP="008C3EDC">
            <w:pPr>
              <w:pStyle w:val="NoSpacing"/>
              <w:jc w:val="both"/>
              <w:rPr>
                <w:rFonts w:ascii="Arial" w:hAnsi="Arial" w:cs="Arial"/>
                <w:sz w:val="24"/>
                <w:szCs w:val="24"/>
              </w:rPr>
            </w:pPr>
            <w:r w:rsidRPr="000974BC">
              <w:rPr>
                <w:rFonts w:ascii="Arial" w:hAnsi="Arial" w:cs="Arial"/>
                <w:sz w:val="24"/>
                <w:szCs w:val="24"/>
              </w:rPr>
              <w:t>The ICB as the public authority must show that the prejudice it is envisaging affects the particular interest that the exemption is designed to protect:</w:t>
            </w:r>
          </w:p>
          <w:p w14:paraId="1650A8B2" w14:textId="77777777" w:rsidR="008C3EDC" w:rsidRPr="000974BC" w:rsidRDefault="008C3EDC" w:rsidP="008C3EDC">
            <w:pPr>
              <w:pStyle w:val="NoSpacing"/>
              <w:jc w:val="both"/>
              <w:rPr>
                <w:rFonts w:ascii="Arial" w:hAnsi="Arial" w:cs="Arial"/>
                <w:color w:val="000000" w:themeColor="text1"/>
                <w:sz w:val="24"/>
                <w:szCs w:val="24"/>
              </w:rPr>
            </w:pPr>
          </w:p>
          <w:p w14:paraId="6ECDCC97" w14:textId="6F1AAE8D" w:rsidR="008C3EDC" w:rsidRPr="000974BC" w:rsidRDefault="008C3EDC" w:rsidP="008C3EDC">
            <w:pPr>
              <w:pStyle w:val="NoSpacing"/>
              <w:jc w:val="both"/>
              <w:rPr>
                <w:rFonts w:ascii="Arial" w:hAnsi="Arial" w:cs="Arial"/>
                <w:sz w:val="24"/>
                <w:szCs w:val="24"/>
              </w:rPr>
            </w:pPr>
            <w:r w:rsidRPr="000974BC">
              <w:rPr>
                <w:rFonts w:ascii="Arial" w:hAnsi="Arial" w:cs="Arial"/>
                <w:b/>
                <w:bCs/>
                <w:sz w:val="24"/>
                <w:szCs w:val="24"/>
              </w:rPr>
              <w:t>The statutory duty to achieve annual financial breakeven positions in our audited accounts</w:t>
            </w:r>
            <w:r w:rsidR="009A62AD">
              <w:rPr>
                <w:rFonts w:ascii="Arial" w:hAnsi="Arial" w:cs="Arial"/>
                <w:b/>
                <w:bCs/>
                <w:sz w:val="24"/>
                <w:szCs w:val="24"/>
              </w:rPr>
              <w:t>:</w:t>
            </w:r>
          </w:p>
          <w:p w14:paraId="682EB3C4" w14:textId="2955FBA5" w:rsidR="008C3EDC" w:rsidRPr="008C3EDC" w:rsidRDefault="008C3EDC" w:rsidP="008C3EDC">
            <w:pPr>
              <w:pStyle w:val="NoSpacing"/>
              <w:numPr>
                <w:ilvl w:val="0"/>
                <w:numId w:val="1"/>
              </w:numPr>
              <w:jc w:val="both"/>
              <w:rPr>
                <w:rFonts w:ascii="Arial" w:hAnsi="Arial" w:cs="Arial"/>
                <w:b/>
                <w:bCs/>
                <w:sz w:val="24"/>
                <w:szCs w:val="24"/>
              </w:rPr>
            </w:pPr>
            <w:proofErr w:type="gramStart"/>
            <w:r w:rsidRPr="000974BC">
              <w:rPr>
                <w:rFonts w:ascii="Arial" w:hAnsi="Arial" w:cs="Arial"/>
                <w:sz w:val="24"/>
                <w:szCs w:val="24"/>
              </w:rPr>
              <w:t>I.e.</w:t>
            </w:r>
            <w:proofErr w:type="gramEnd"/>
            <w:r w:rsidRPr="000974BC">
              <w:rPr>
                <w:rFonts w:ascii="Arial" w:hAnsi="Arial" w:cs="Arial"/>
                <w:sz w:val="24"/>
                <w:szCs w:val="24"/>
              </w:rPr>
              <w:t xml:space="preserve"> the past financial years’ accounts are now audited / settled and no budgetary provisions made in future years for any subsequently-challenged areas. </w:t>
            </w:r>
          </w:p>
          <w:p w14:paraId="4353B8F4" w14:textId="67517BEF" w:rsidR="008C3EDC" w:rsidRDefault="008C3EDC" w:rsidP="008C3EDC">
            <w:pPr>
              <w:pStyle w:val="FootnoteText"/>
              <w:rPr>
                <w:rFonts w:ascii="Arial" w:hAnsi="Arial" w:cs="Arial"/>
                <w:i/>
                <w:iCs/>
                <w:color w:val="000000" w:themeColor="text1"/>
                <w:sz w:val="24"/>
                <w:szCs w:val="24"/>
                <w:u w:val="single"/>
              </w:rPr>
            </w:pPr>
            <w:r w:rsidRPr="008C3EDC">
              <w:rPr>
                <w:rFonts w:ascii="Arial" w:hAnsi="Arial" w:cs="Arial"/>
                <w:i/>
                <w:iCs/>
                <w:color w:val="000000" w:themeColor="text1"/>
                <w:sz w:val="24"/>
                <w:szCs w:val="24"/>
                <w:u w:val="single"/>
              </w:rPr>
              <w:lastRenderedPageBreak/>
              <w:t>Regulation 113 of the 2015 Public Contracts Regs (cited by Requester) extract:</w:t>
            </w:r>
          </w:p>
          <w:p w14:paraId="3C0C7E3B" w14:textId="77777777" w:rsidR="008C3EDC" w:rsidRPr="008C3EDC" w:rsidRDefault="008C3EDC" w:rsidP="008C3EDC">
            <w:pPr>
              <w:pStyle w:val="FootnoteText"/>
              <w:rPr>
                <w:rFonts w:ascii="Arial" w:hAnsi="Arial" w:cs="Arial"/>
                <w:i/>
                <w:iCs/>
                <w:color w:val="000000" w:themeColor="text1"/>
                <w:sz w:val="24"/>
                <w:szCs w:val="24"/>
                <w:u w:val="single"/>
              </w:rPr>
            </w:pPr>
          </w:p>
          <w:p w14:paraId="7DEB3E94" w14:textId="7685A35A" w:rsidR="008C3EDC" w:rsidRPr="008C3EDC" w:rsidRDefault="008C3EDC" w:rsidP="008C3EDC">
            <w:pPr>
              <w:pStyle w:val="FootnoteText"/>
              <w:rPr>
                <w:rFonts w:ascii="Arial" w:hAnsi="Arial" w:cs="Arial"/>
                <w:i/>
                <w:iCs/>
                <w:sz w:val="24"/>
                <w:szCs w:val="24"/>
              </w:rPr>
            </w:pPr>
            <w:r w:rsidRPr="008C3EDC">
              <w:rPr>
                <w:rFonts w:ascii="Arial" w:hAnsi="Arial" w:cs="Arial"/>
                <w:i/>
                <w:iCs/>
                <w:sz w:val="24"/>
                <w:szCs w:val="24"/>
              </w:rPr>
              <w:t xml:space="preserve">“(7) Every financial year, each contracting authority shall publish on the internet statistics showing, for the preceding financial year, how far the contracting authority has </w:t>
            </w:r>
            <w:proofErr w:type="gramStart"/>
            <w:r w:rsidRPr="008C3EDC">
              <w:rPr>
                <w:rFonts w:ascii="Arial" w:hAnsi="Arial" w:cs="Arial"/>
                <w:i/>
                <w:iCs/>
                <w:sz w:val="24"/>
                <w:szCs w:val="24"/>
              </w:rPr>
              <w:t>actually complied</w:t>
            </w:r>
            <w:proofErr w:type="gramEnd"/>
            <w:r w:rsidRPr="008C3EDC">
              <w:rPr>
                <w:rFonts w:ascii="Arial" w:hAnsi="Arial" w:cs="Arial"/>
                <w:i/>
                <w:iCs/>
                <w:sz w:val="24"/>
                <w:szCs w:val="24"/>
              </w:rPr>
              <w:t xml:space="preserve"> with its obligations under this regulation to make payments within 30 days, including</w:t>
            </w:r>
            <w:r>
              <w:rPr>
                <w:rFonts w:ascii="Arial" w:hAnsi="Arial" w:cs="Arial"/>
                <w:i/>
                <w:iCs/>
                <w:sz w:val="24"/>
                <w:szCs w:val="24"/>
              </w:rPr>
              <w:t>:</w:t>
            </w:r>
          </w:p>
          <w:p w14:paraId="44CCC115" w14:textId="5482C4D9" w:rsidR="008C3EDC" w:rsidRDefault="008C3EDC" w:rsidP="008C3EDC">
            <w:pPr>
              <w:pStyle w:val="FootnoteText"/>
              <w:numPr>
                <w:ilvl w:val="0"/>
                <w:numId w:val="5"/>
              </w:numPr>
              <w:rPr>
                <w:rFonts w:ascii="Arial" w:hAnsi="Arial" w:cs="Arial"/>
                <w:i/>
                <w:iCs/>
                <w:sz w:val="24"/>
                <w:szCs w:val="24"/>
              </w:rPr>
            </w:pPr>
            <w:r w:rsidRPr="008C3EDC">
              <w:rPr>
                <w:rFonts w:ascii="Arial" w:hAnsi="Arial" w:cs="Arial"/>
                <w:i/>
                <w:iCs/>
                <w:sz w:val="24"/>
                <w:szCs w:val="24"/>
              </w:rPr>
              <w:t xml:space="preserve">the proportion of invoices that were paid in accordance with those obligations, expressed as a percentage of the total number of invoices that were, or should have been, paid in accordance with those </w:t>
            </w:r>
            <w:proofErr w:type="gramStart"/>
            <w:r w:rsidRPr="008C3EDC">
              <w:rPr>
                <w:rFonts w:ascii="Arial" w:hAnsi="Arial" w:cs="Arial"/>
                <w:i/>
                <w:iCs/>
                <w:sz w:val="24"/>
                <w:szCs w:val="24"/>
              </w:rPr>
              <w:t>obligations;</w:t>
            </w:r>
            <w:proofErr w:type="gramEnd"/>
          </w:p>
          <w:p w14:paraId="7E180C48" w14:textId="530EBAEE" w:rsidR="008C3EDC" w:rsidRDefault="008C3EDC" w:rsidP="008C3EDC">
            <w:pPr>
              <w:pStyle w:val="FootnoteText"/>
              <w:numPr>
                <w:ilvl w:val="0"/>
                <w:numId w:val="5"/>
              </w:numPr>
              <w:rPr>
                <w:rFonts w:ascii="Arial" w:hAnsi="Arial" w:cs="Arial"/>
                <w:i/>
                <w:iCs/>
                <w:sz w:val="24"/>
                <w:szCs w:val="24"/>
              </w:rPr>
            </w:pPr>
            <w:r w:rsidRPr="008C3EDC">
              <w:rPr>
                <w:rFonts w:ascii="Arial" w:hAnsi="Arial" w:cs="Arial"/>
                <w:i/>
                <w:iCs/>
                <w:sz w:val="24"/>
                <w:szCs w:val="24"/>
              </w:rPr>
              <w:t>the total amount of any liability (whether statutory or otherwise) to pay interest which accrued by virtue of circumstances amounting to a breach of those obligations; and</w:t>
            </w:r>
          </w:p>
          <w:p w14:paraId="7B9C1532" w14:textId="428A9CAF" w:rsidR="008C3EDC" w:rsidRDefault="008C3EDC" w:rsidP="008C3EDC">
            <w:pPr>
              <w:pStyle w:val="FootnoteText"/>
              <w:numPr>
                <w:ilvl w:val="0"/>
                <w:numId w:val="5"/>
              </w:numPr>
              <w:rPr>
                <w:rFonts w:ascii="Arial" w:hAnsi="Arial" w:cs="Arial"/>
                <w:i/>
                <w:iCs/>
                <w:sz w:val="24"/>
                <w:szCs w:val="24"/>
              </w:rPr>
            </w:pPr>
            <w:r w:rsidRPr="008C3EDC">
              <w:rPr>
                <w:rFonts w:ascii="Arial" w:hAnsi="Arial" w:cs="Arial"/>
                <w:i/>
                <w:iCs/>
                <w:sz w:val="24"/>
                <w:szCs w:val="24"/>
              </w:rPr>
              <w:t>the total amount of interest actually paid in discharge of any such liability (including any which had accrued before the beginning of the period to which the statistics relate).</w:t>
            </w:r>
          </w:p>
          <w:p w14:paraId="5AA9C8EE" w14:textId="77777777" w:rsidR="008C3EDC" w:rsidRDefault="008C3EDC" w:rsidP="008C3EDC">
            <w:pPr>
              <w:pStyle w:val="ListParagraph"/>
              <w:rPr>
                <w:i/>
                <w:iCs/>
                <w:sz w:val="24"/>
                <w:szCs w:val="24"/>
              </w:rPr>
            </w:pPr>
          </w:p>
          <w:p w14:paraId="716D9DF6" w14:textId="3B57748F" w:rsidR="008C3EDC" w:rsidRPr="008C3EDC" w:rsidRDefault="008C3EDC" w:rsidP="008C3EDC">
            <w:pPr>
              <w:pStyle w:val="FootnoteText"/>
              <w:rPr>
                <w:rFonts w:ascii="Arial" w:hAnsi="Arial" w:cs="Arial"/>
                <w:i/>
                <w:iCs/>
                <w:sz w:val="24"/>
                <w:szCs w:val="24"/>
              </w:rPr>
            </w:pPr>
            <w:r w:rsidRPr="008C3EDC">
              <w:rPr>
                <w:rFonts w:ascii="Arial" w:hAnsi="Arial" w:cs="Arial"/>
                <w:i/>
                <w:iCs/>
                <w:sz w:val="24"/>
                <w:szCs w:val="24"/>
              </w:rPr>
              <w:t>(8) In paragraph (7), “publish on the internet” mean</w:t>
            </w:r>
            <w:r>
              <w:rPr>
                <w:rFonts w:ascii="Arial" w:hAnsi="Arial" w:cs="Arial"/>
                <w:i/>
                <w:iCs/>
                <w:sz w:val="24"/>
                <w:szCs w:val="24"/>
              </w:rPr>
              <w:t>s:</w:t>
            </w:r>
          </w:p>
          <w:p w14:paraId="1551D09E" w14:textId="2D059082" w:rsidR="008C3EDC" w:rsidRDefault="008C3EDC" w:rsidP="008C3EDC">
            <w:pPr>
              <w:pStyle w:val="FootnoteText"/>
              <w:numPr>
                <w:ilvl w:val="0"/>
                <w:numId w:val="6"/>
              </w:numPr>
              <w:rPr>
                <w:rFonts w:ascii="Arial" w:hAnsi="Arial" w:cs="Arial"/>
                <w:i/>
                <w:iCs/>
                <w:sz w:val="24"/>
                <w:szCs w:val="24"/>
              </w:rPr>
            </w:pPr>
            <w:r w:rsidRPr="008C3EDC">
              <w:rPr>
                <w:rFonts w:ascii="Arial" w:hAnsi="Arial" w:cs="Arial"/>
                <w:i/>
                <w:iCs/>
                <w:sz w:val="24"/>
                <w:szCs w:val="24"/>
              </w:rPr>
              <w:t>make freely available on the internet; and</w:t>
            </w:r>
          </w:p>
          <w:p w14:paraId="7EBD06C0" w14:textId="40F7A7FC" w:rsidR="008C3EDC" w:rsidRDefault="008C3EDC" w:rsidP="008C3EDC">
            <w:pPr>
              <w:pStyle w:val="FootnoteText"/>
              <w:numPr>
                <w:ilvl w:val="0"/>
                <w:numId w:val="6"/>
              </w:numPr>
              <w:rPr>
                <w:rFonts w:ascii="Arial" w:hAnsi="Arial" w:cs="Arial"/>
                <w:i/>
                <w:iCs/>
                <w:sz w:val="24"/>
                <w:szCs w:val="24"/>
              </w:rPr>
            </w:pPr>
            <w:r w:rsidRPr="008C3EDC">
              <w:rPr>
                <w:rFonts w:ascii="Arial" w:hAnsi="Arial" w:cs="Arial"/>
                <w:i/>
                <w:iCs/>
                <w:sz w:val="24"/>
                <w:szCs w:val="24"/>
              </w:rPr>
              <w:t>maintain such availability, subject to temporary interruptions for technical reasons, until the publication under paragraph (7) of the statistics for the following financial year.</w:t>
            </w:r>
          </w:p>
          <w:p w14:paraId="34B8ED49" w14:textId="77777777" w:rsidR="008C3EDC" w:rsidRPr="008C3EDC" w:rsidRDefault="008C3EDC" w:rsidP="008C3EDC">
            <w:pPr>
              <w:pStyle w:val="FootnoteText"/>
              <w:rPr>
                <w:rFonts w:ascii="Arial" w:hAnsi="Arial" w:cs="Arial"/>
                <w:i/>
                <w:iCs/>
                <w:sz w:val="24"/>
                <w:szCs w:val="24"/>
              </w:rPr>
            </w:pPr>
          </w:p>
          <w:p w14:paraId="3573D4F9" w14:textId="3C629448" w:rsidR="008C3EDC" w:rsidRPr="008C3EDC" w:rsidRDefault="008C3EDC" w:rsidP="008C3EDC">
            <w:pPr>
              <w:pStyle w:val="FootnoteText"/>
              <w:rPr>
                <w:rFonts w:ascii="Arial" w:hAnsi="Arial" w:cs="Arial"/>
                <w:i/>
                <w:iCs/>
                <w:sz w:val="24"/>
                <w:szCs w:val="24"/>
              </w:rPr>
            </w:pPr>
            <w:r w:rsidRPr="008C3EDC">
              <w:rPr>
                <w:rFonts w:ascii="Arial" w:hAnsi="Arial" w:cs="Arial"/>
                <w:i/>
                <w:iCs/>
                <w:sz w:val="24"/>
                <w:szCs w:val="24"/>
              </w:rPr>
              <w:t>(9) In complying with paragraph (7), contracting authorities shall have regard to any guidance issued by the Minister for the Cabinet Office.</w:t>
            </w:r>
            <w:r>
              <w:rPr>
                <w:rFonts w:ascii="Arial" w:hAnsi="Arial" w:cs="Arial"/>
                <w:i/>
                <w:iCs/>
                <w:sz w:val="24"/>
                <w:szCs w:val="24"/>
              </w:rPr>
              <w:t>”</w:t>
            </w:r>
          </w:p>
          <w:p w14:paraId="6B194407" w14:textId="77777777" w:rsidR="008C3EDC" w:rsidRPr="008C3EDC" w:rsidRDefault="008C3EDC" w:rsidP="008C3EDC">
            <w:pPr>
              <w:pStyle w:val="NoSpacing"/>
              <w:jc w:val="both"/>
              <w:rPr>
                <w:rFonts w:ascii="Arial" w:hAnsi="Arial" w:cs="Arial"/>
                <w:b/>
                <w:bCs/>
                <w:sz w:val="24"/>
                <w:szCs w:val="24"/>
              </w:rPr>
            </w:pPr>
          </w:p>
          <w:p w14:paraId="1333A615" w14:textId="1479F5A4" w:rsidR="008C3EDC" w:rsidRPr="00FD66E0" w:rsidRDefault="00FD66E0" w:rsidP="008C3EDC">
            <w:pPr>
              <w:pStyle w:val="NoSpacing"/>
              <w:jc w:val="both"/>
              <w:rPr>
                <w:rFonts w:ascii="Arial" w:hAnsi="Arial" w:cs="Arial"/>
                <w:b/>
                <w:bCs/>
                <w:sz w:val="24"/>
                <w:szCs w:val="24"/>
              </w:rPr>
            </w:pPr>
            <w:r w:rsidRPr="00FD66E0">
              <w:rPr>
                <w:rFonts w:ascii="Arial" w:hAnsi="Arial" w:cs="Arial"/>
                <w:b/>
                <w:bCs/>
                <w:sz w:val="24"/>
                <w:szCs w:val="24"/>
              </w:rPr>
              <w:t>Step 2 – the nature of the prejudice</w:t>
            </w:r>
          </w:p>
          <w:p w14:paraId="62AFB70C" w14:textId="2D32AB04" w:rsidR="00FD66E0" w:rsidRPr="00FD66E0" w:rsidRDefault="00FD66E0" w:rsidP="00FD66E0">
            <w:pPr>
              <w:pStyle w:val="NoSpacing"/>
              <w:numPr>
                <w:ilvl w:val="0"/>
                <w:numId w:val="9"/>
              </w:numPr>
              <w:rPr>
                <w:rFonts w:ascii="Arial" w:hAnsi="Arial" w:cs="Arial"/>
                <w:b/>
                <w:bCs/>
                <w:sz w:val="24"/>
                <w:szCs w:val="24"/>
              </w:rPr>
            </w:pPr>
            <w:r w:rsidRPr="008C3EDC">
              <w:rPr>
                <w:rFonts w:ascii="Arial" w:hAnsi="Arial" w:cs="Arial"/>
                <w:sz w:val="24"/>
                <w:szCs w:val="24"/>
              </w:rPr>
              <w:t>As there is no budget set aside for historically non-contested late payments, if the details of those invoices were disclosed outside of Regulation 113 expectations, this would represent a significant cost pressure to the public authority. Through a third party undertaking secondary activities to those relating to the original services rendered within the invoices, and on behalf of the contractors originally engaged by the public authority. There is no other logical connection between the third party, the originally contracted provider or the public authority as the commissioner of those services rendered.</w:t>
            </w:r>
          </w:p>
          <w:p w14:paraId="0BD77E37" w14:textId="77777777" w:rsidR="00FD66E0" w:rsidRPr="008C3EDC" w:rsidRDefault="00FD66E0" w:rsidP="00FD66E0">
            <w:pPr>
              <w:pStyle w:val="NoSpacing"/>
              <w:ind w:left="360"/>
              <w:rPr>
                <w:rFonts w:ascii="Arial" w:hAnsi="Arial" w:cs="Arial"/>
                <w:b/>
                <w:bCs/>
                <w:sz w:val="24"/>
                <w:szCs w:val="24"/>
              </w:rPr>
            </w:pPr>
          </w:p>
          <w:p w14:paraId="56FBFDD3" w14:textId="6511BB93" w:rsidR="00FD66E0" w:rsidRDefault="00FD66E0" w:rsidP="00FD66E0">
            <w:pPr>
              <w:pStyle w:val="NoSpacing"/>
              <w:numPr>
                <w:ilvl w:val="0"/>
                <w:numId w:val="9"/>
              </w:numPr>
              <w:rPr>
                <w:rFonts w:ascii="Arial" w:hAnsi="Arial" w:cs="Arial"/>
                <w:sz w:val="24"/>
                <w:szCs w:val="24"/>
              </w:rPr>
            </w:pPr>
            <w:r w:rsidRPr="008C3EDC">
              <w:rPr>
                <w:rFonts w:ascii="Arial" w:hAnsi="Arial" w:cs="Arial"/>
                <w:sz w:val="24"/>
                <w:szCs w:val="24"/>
              </w:rPr>
              <w:t xml:space="preserve">This </w:t>
            </w:r>
            <w:proofErr w:type="gramStart"/>
            <w:r w:rsidRPr="008C3EDC">
              <w:rPr>
                <w:rFonts w:ascii="Arial" w:hAnsi="Arial" w:cs="Arial"/>
                <w:sz w:val="24"/>
                <w:szCs w:val="24"/>
              </w:rPr>
              <w:t>evidences</w:t>
            </w:r>
            <w:proofErr w:type="gramEnd"/>
            <w:r w:rsidRPr="008C3EDC">
              <w:rPr>
                <w:rFonts w:ascii="Arial" w:hAnsi="Arial" w:cs="Arial"/>
                <w:sz w:val="24"/>
                <w:szCs w:val="24"/>
              </w:rPr>
              <w:t xml:space="preserve"> a clear causal link between the disclosure and the prejudice claimed in Step One. The ICB as public authority is hereby showing how the disclosure of the specific invoice dates information requested would lead to the prejudice claimed, as unaligned secondary tasks performed since the information was disclosed, leading to the strong risk of prejudice to the ICB’s </w:t>
            </w:r>
            <w:proofErr w:type="gramStart"/>
            <w:r w:rsidRPr="008C3EDC">
              <w:rPr>
                <w:rFonts w:ascii="Arial" w:hAnsi="Arial" w:cs="Arial"/>
                <w:sz w:val="24"/>
                <w:szCs w:val="24"/>
              </w:rPr>
              <w:t>publicly-audited</w:t>
            </w:r>
            <w:proofErr w:type="gramEnd"/>
            <w:r w:rsidRPr="008C3EDC">
              <w:rPr>
                <w:rFonts w:ascii="Arial" w:hAnsi="Arial" w:cs="Arial"/>
                <w:sz w:val="24"/>
                <w:szCs w:val="24"/>
              </w:rPr>
              <w:t xml:space="preserve"> budgets and performance of key financial statutory duties.</w:t>
            </w:r>
          </w:p>
          <w:p w14:paraId="1F9AB8BA" w14:textId="77777777" w:rsidR="00FD66E0" w:rsidRDefault="00FD66E0" w:rsidP="00FD66E0">
            <w:pPr>
              <w:pStyle w:val="ListParagraph"/>
              <w:rPr>
                <w:sz w:val="24"/>
                <w:szCs w:val="24"/>
              </w:rPr>
            </w:pPr>
          </w:p>
          <w:p w14:paraId="1C4564A4" w14:textId="77777777" w:rsidR="00FD66E0" w:rsidRPr="008C3EDC" w:rsidRDefault="00FD66E0" w:rsidP="00FD66E0">
            <w:pPr>
              <w:pStyle w:val="NoSpacing"/>
              <w:numPr>
                <w:ilvl w:val="0"/>
                <w:numId w:val="9"/>
              </w:numPr>
              <w:rPr>
                <w:rFonts w:ascii="Arial" w:hAnsi="Arial" w:cs="Arial"/>
                <w:sz w:val="24"/>
                <w:szCs w:val="24"/>
              </w:rPr>
            </w:pPr>
            <w:r w:rsidRPr="008C3EDC">
              <w:rPr>
                <w:rFonts w:ascii="Arial" w:hAnsi="Arial" w:cs="Arial"/>
                <w:sz w:val="24"/>
                <w:szCs w:val="24"/>
              </w:rPr>
              <w:t>There must therefore be, in our opinion, a strong, logical connection between the disclosure and the prejudice, supporting our position of engaging the exemption.</w:t>
            </w:r>
          </w:p>
          <w:p w14:paraId="5B51AF64" w14:textId="2DA03D4B" w:rsidR="008C3EDC" w:rsidRDefault="008C3EDC" w:rsidP="008C3EDC">
            <w:pPr>
              <w:pStyle w:val="NoSpacing"/>
              <w:jc w:val="both"/>
              <w:rPr>
                <w:rFonts w:ascii="Arial" w:hAnsi="Arial" w:cs="Arial"/>
                <w:b/>
                <w:bCs/>
                <w:sz w:val="24"/>
                <w:szCs w:val="24"/>
              </w:rPr>
            </w:pPr>
          </w:p>
          <w:p w14:paraId="008F32F2" w14:textId="10B00105" w:rsidR="00FD66E0" w:rsidRPr="00FD66E0" w:rsidRDefault="00FD66E0" w:rsidP="008C3EDC">
            <w:pPr>
              <w:pStyle w:val="NoSpacing"/>
              <w:jc w:val="both"/>
              <w:rPr>
                <w:rFonts w:ascii="Arial" w:hAnsi="Arial" w:cs="Arial"/>
                <w:b/>
                <w:bCs/>
                <w:sz w:val="24"/>
                <w:szCs w:val="24"/>
              </w:rPr>
            </w:pPr>
            <w:r w:rsidRPr="00FD66E0">
              <w:rPr>
                <w:rFonts w:ascii="Arial" w:hAnsi="Arial" w:cs="Arial"/>
                <w:b/>
                <w:bCs/>
                <w:sz w:val="24"/>
                <w:szCs w:val="24"/>
              </w:rPr>
              <w:t>Step 3 – the likelihood of prejudice</w:t>
            </w:r>
          </w:p>
          <w:p w14:paraId="5C06E3E1" w14:textId="77777777" w:rsidR="00FD66E0" w:rsidRPr="00FD66E0" w:rsidRDefault="00FD66E0" w:rsidP="00FD66E0">
            <w:pPr>
              <w:pStyle w:val="NoSpacing"/>
              <w:numPr>
                <w:ilvl w:val="0"/>
                <w:numId w:val="10"/>
              </w:numPr>
              <w:ind w:left="360"/>
              <w:jc w:val="both"/>
              <w:rPr>
                <w:rFonts w:ascii="Arial" w:hAnsi="Arial" w:cs="Arial"/>
                <w:b/>
                <w:bCs/>
                <w:sz w:val="24"/>
                <w:szCs w:val="24"/>
              </w:rPr>
            </w:pPr>
            <w:r w:rsidRPr="00FD66E0">
              <w:rPr>
                <w:rFonts w:ascii="Arial" w:hAnsi="Arial" w:cs="Arial"/>
                <w:sz w:val="24"/>
                <w:szCs w:val="24"/>
              </w:rPr>
              <w:t>The significant cost pressure threatened of the public authority by disclosure would have a very damaging, detrimental effect on the public authority’s finances and budgets to commission healthcare services from.</w:t>
            </w:r>
          </w:p>
          <w:p w14:paraId="19EBD7EC" w14:textId="77777777" w:rsidR="00FD66E0" w:rsidRPr="00FD66E0" w:rsidRDefault="00FD66E0" w:rsidP="00FD66E0">
            <w:pPr>
              <w:pStyle w:val="NoSpacing"/>
              <w:numPr>
                <w:ilvl w:val="0"/>
                <w:numId w:val="10"/>
              </w:numPr>
              <w:ind w:left="360"/>
              <w:jc w:val="both"/>
              <w:rPr>
                <w:rFonts w:ascii="Arial" w:hAnsi="Arial" w:cs="Arial"/>
                <w:b/>
                <w:bCs/>
                <w:sz w:val="24"/>
                <w:szCs w:val="24"/>
              </w:rPr>
            </w:pPr>
            <w:r w:rsidRPr="00FD66E0">
              <w:rPr>
                <w:rFonts w:ascii="Arial" w:hAnsi="Arial" w:cs="Arial"/>
                <w:sz w:val="24"/>
                <w:szCs w:val="24"/>
              </w:rPr>
              <w:t xml:space="preserve">Amounts subsequently found to settle historically unchallenged invoices would need to be taken from other budgets aligned to frontline services, and so would doubly prejudice our ability to equitably commission those for our population, nor to achieve further statutory duties in relation to NHS Commissioning bodies as well as those threatened by going </w:t>
            </w:r>
            <w:proofErr w:type="gramStart"/>
            <w:r w:rsidRPr="00FD66E0">
              <w:rPr>
                <w:rFonts w:ascii="Arial" w:hAnsi="Arial" w:cs="Arial"/>
                <w:sz w:val="24"/>
                <w:szCs w:val="24"/>
              </w:rPr>
              <w:t>in excess of</w:t>
            </w:r>
            <w:proofErr w:type="gramEnd"/>
            <w:r w:rsidRPr="00FD66E0">
              <w:rPr>
                <w:rFonts w:ascii="Arial" w:hAnsi="Arial" w:cs="Arial"/>
                <w:sz w:val="24"/>
                <w:szCs w:val="24"/>
              </w:rPr>
              <w:t xml:space="preserve"> the budgeted amount. This point also evidences clear non-disclosure arguments in our separate Public Interest Test.</w:t>
            </w:r>
          </w:p>
          <w:p w14:paraId="07C72FF6" w14:textId="77777777" w:rsidR="00FD66E0" w:rsidRPr="00FD66E0" w:rsidRDefault="00FD66E0" w:rsidP="00FD66E0">
            <w:pPr>
              <w:pStyle w:val="NoSpacing"/>
              <w:ind w:left="66"/>
              <w:jc w:val="both"/>
              <w:rPr>
                <w:rFonts w:ascii="Arial" w:hAnsi="Arial" w:cs="Arial"/>
                <w:sz w:val="24"/>
                <w:szCs w:val="24"/>
              </w:rPr>
            </w:pPr>
          </w:p>
          <w:p w14:paraId="7F879ED2" w14:textId="7DC4953E" w:rsidR="00FD66E0" w:rsidRPr="00FD66E0" w:rsidRDefault="00FD66E0" w:rsidP="00FD66E0">
            <w:pPr>
              <w:pStyle w:val="NoSpacing"/>
              <w:numPr>
                <w:ilvl w:val="0"/>
                <w:numId w:val="10"/>
              </w:numPr>
              <w:ind w:left="360"/>
              <w:jc w:val="both"/>
              <w:rPr>
                <w:rFonts w:ascii="Arial" w:hAnsi="Arial" w:cs="Arial"/>
                <w:sz w:val="24"/>
                <w:szCs w:val="24"/>
              </w:rPr>
            </w:pPr>
            <w:r w:rsidRPr="00FD66E0">
              <w:rPr>
                <w:rFonts w:ascii="Arial" w:hAnsi="Arial" w:cs="Arial"/>
                <w:sz w:val="24"/>
                <w:szCs w:val="24"/>
              </w:rPr>
              <w:t>As these relate to multiple invoices over multiple years, it is clear therefore that disclosure would directly lead to a more frequent basis on which these likelihoods and their circumstances would arise. Where “would” also means ‘more probable than not’. In other words, we assert there is clearly a much more than 50% chance of the disclosure of multiple years’ invoices causing the prejudice to result.</w:t>
            </w:r>
          </w:p>
          <w:p w14:paraId="10E4CFCF" w14:textId="77777777" w:rsidR="00FD66E0" w:rsidRPr="00FD66E0" w:rsidRDefault="00FD66E0" w:rsidP="00FD66E0">
            <w:pPr>
              <w:pStyle w:val="NoSpacing"/>
              <w:ind w:left="66"/>
              <w:jc w:val="both"/>
              <w:rPr>
                <w:rFonts w:ascii="Arial" w:hAnsi="Arial" w:cs="Arial"/>
                <w:sz w:val="24"/>
                <w:szCs w:val="24"/>
              </w:rPr>
            </w:pPr>
          </w:p>
          <w:p w14:paraId="3504F2DE" w14:textId="77777777" w:rsidR="00FD66E0" w:rsidRPr="00FD66E0" w:rsidRDefault="00FD66E0" w:rsidP="00FD66E0">
            <w:pPr>
              <w:pStyle w:val="NoSpacing"/>
              <w:numPr>
                <w:ilvl w:val="0"/>
                <w:numId w:val="10"/>
              </w:numPr>
              <w:ind w:left="360"/>
              <w:jc w:val="both"/>
              <w:rPr>
                <w:rFonts w:ascii="Arial" w:hAnsi="Arial" w:cs="Arial"/>
                <w:sz w:val="24"/>
                <w:szCs w:val="24"/>
              </w:rPr>
            </w:pPr>
            <w:r w:rsidRPr="00FD66E0">
              <w:rPr>
                <w:rFonts w:ascii="Arial" w:hAnsi="Arial" w:cs="Arial"/>
                <w:sz w:val="24"/>
                <w:szCs w:val="24"/>
              </w:rPr>
              <w:t>For the avoidance of doubt, we are hereby making a clear choice between ‘would’ over ‘would be likely to’ and so are formally stating this here as part of our refusal notice.</w:t>
            </w:r>
          </w:p>
          <w:p w14:paraId="4B23E1FA" w14:textId="77777777" w:rsidR="00FD66E0" w:rsidRPr="00FD66E0" w:rsidRDefault="00FD66E0" w:rsidP="008C3EDC">
            <w:pPr>
              <w:pStyle w:val="NoSpacing"/>
              <w:jc w:val="both"/>
              <w:rPr>
                <w:rFonts w:ascii="Arial" w:hAnsi="Arial" w:cs="Arial"/>
                <w:sz w:val="24"/>
                <w:szCs w:val="24"/>
              </w:rPr>
            </w:pPr>
          </w:p>
          <w:p w14:paraId="17D787CD" w14:textId="77777777" w:rsidR="00FD66E0" w:rsidRPr="00FD66E0" w:rsidRDefault="00FD66E0" w:rsidP="00FD66E0">
            <w:pPr>
              <w:pStyle w:val="NoSpacing"/>
              <w:rPr>
                <w:rFonts w:ascii="Arial" w:hAnsi="Arial" w:cs="Arial"/>
                <w:b/>
                <w:bCs/>
                <w:sz w:val="24"/>
                <w:szCs w:val="24"/>
              </w:rPr>
            </w:pPr>
            <w:r w:rsidRPr="00FD66E0">
              <w:rPr>
                <w:rFonts w:ascii="Arial" w:hAnsi="Arial" w:cs="Arial"/>
                <w:b/>
                <w:bCs/>
                <w:sz w:val="24"/>
                <w:szCs w:val="24"/>
              </w:rPr>
              <w:t xml:space="preserve">Now the exemption has been engaged </w:t>
            </w:r>
            <w:proofErr w:type="gramStart"/>
            <w:r w:rsidRPr="00FD66E0">
              <w:rPr>
                <w:rFonts w:ascii="Arial" w:hAnsi="Arial" w:cs="Arial"/>
                <w:b/>
                <w:bCs/>
                <w:sz w:val="24"/>
                <w:szCs w:val="24"/>
              </w:rPr>
              <w:t>on the basis of</w:t>
            </w:r>
            <w:proofErr w:type="gramEnd"/>
            <w:r w:rsidRPr="00FD66E0">
              <w:rPr>
                <w:rFonts w:ascii="Arial" w:hAnsi="Arial" w:cs="Arial"/>
                <w:b/>
                <w:bCs/>
                <w:sz w:val="24"/>
                <w:szCs w:val="24"/>
              </w:rPr>
              <w:t xml:space="preserve"> the Prejudice Test, it is then necessary for us to consider the balance of public interest – please refer to the separate Public Interest Test analysis enclosed within our response to the request.</w:t>
            </w:r>
          </w:p>
          <w:p w14:paraId="00DE7FD9" w14:textId="76DFF451" w:rsidR="008C3EDC" w:rsidRPr="00C43CC8" w:rsidRDefault="008C3EDC" w:rsidP="00B62B3A">
            <w:pPr>
              <w:rPr>
                <w:b/>
                <w:bCs/>
                <w:sz w:val="24"/>
                <w:szCs w:val="24"/>
              </w:rPr>
            </w:pPr>
          </w:p>
        </w:tc>
      </w:tr>
      <w:tr w:rsidR="00C15DFA" w:rsidRPr="00C15DFA" w14:paraId="17E94B7F" w14:textId="77777777" w:rsidTr="00FD66E0">
        <w:tc>
          <w:tcPr>
            <w:tcW w:w="9129" w:type="dxa"/>
          </w:tcPr>
          <w:p w14:paraId="6BA91ABE" w14:textId="083715BD" w:rsidR="00C15DFA" w:rsidRPr="00C15DFA" w:rsidRDefault="00C15DFA">
            <w:pPr>
              <w:rPr>
                <w:b/>
                <w:bCs/>
                <w:sz w:val="24"/>
                <w:szCs w:val="24"/>
              </w:rPr>
            </w:pPr>
            <w:r w:rsidRPr="00C15DFA">
              <w:rPr>
                <w:b/>
                <w:bCs/>
                <w:sz w:val="24"/>
                <w:szCs w:val="24"/>
              </w:rPr>
              <w:lastRenderedPageBreak/>
              <w:t>Conclusion: there are compelling arguments which support withholding the information which outweigh those supporting release.</w:t>
            </w:r>
          </w:p>
          <w:p w14:paraId="6786DCA4" w14:textId="77777777" w:rsidR="00C15DFA" w:rsidRPr="00C15DFA" w:rsidRDefault="00C15DFA">
            <w:pPr>
              <w:rPr>
                <w:b/>
                <w:bCs/>
                <w:sz w:val="24"/>
                <w:szCs w:val="24"/>
              </w:rPr>
            </w:pPr>
          </w:p>
          <w:p w14:paraId="2CFA8FB7" w14:textId="6148F986" w:rsidR="00C15DFA" w:rsidRDefault="008E3621">
            <w:pPr>
              <w:rPr>
                <w:b/>
                <w:bCs/>
                <w:sz w:val="24"/>
                <w:szCs w:val="24"/>
              </w:rPr>
            </w:pPr>
            <w:r>
              <w:rPr>
                <w:b/>
                <w:bCs/>
                <w:sz w:val="24"/>
                <w:szCs w:val="24"/>
              </w:rPr>
              <w:t>Prejudice Test</w:t>
            </w:r>
            <w:r w:rsidR="00C15DFA" w:rsidRPr="00C15DFA">
              <w:rPr>
                <w:b/>
                <w:bCs/>
                <w:sz w:val="24"/>
                <w:szCs w:val="24"/>
              </w:rPr>
              <w:t xml:space="preserve"> Members:</w:t>
            </w:r>
          </w:p>
          <w:p w14:paraId="03BC8EBF" w14:textId="15BE6D53" w:rsidR="00527ED4" w:rsidRDefault="00527ED4">
            <w:pPr>
              <w:rPr>
                <w:b/>
                <w:bCs/>
                <w:sz w:val="24"/>
                <w:szCs w:val="24"/>
              </w:rPr>
            </w:pPr>
          </w:p>
          <w:p w14:paraId="4574B85B" w14:textId="39CC2B2E" w:rsidR="0036493E" w:rsidRDefault="0036493E">
            <w:pPr>
              <w:rPr>
                <w:b/>
                <w:bCs/>
                <w:sz w:val="24"/>
                <w:szCs w:val="24"/>
              </w:rPr>
            </w:pPr>
            <w:r>
              <w:rPr>
                <w:b/>
                <w:bCs/>
                <w:sz w:val="24"/>
                <w:szCs w:val="24"/>
              </w:rPr>
              <w:t>Associate Director of Corporate Governance</w:t>
            </w:r>
          </w:p>
          <w:p w14:paraId="68A15A7A" w14:textId="7E438F8C" w:rsidR="0036493E" w:rsidRDefault="0036493E">
            <w:pPr>
              <w:rPr>
                <w:b/>
                <w:bCs/>
                <w:sz w:val="24"/>
                <w:szCs w:val="24"/>
              </w:rPr>
            </w:pPr>
            <w:r>
              <w:rPr>
                <w:b/>
                <w:bCs/>
                <w:sz w:val="24"/>
                <w:szCs w:val="24"/>
              </w:rPr>
              <w:t>Financial Controller</w:t>
            </w:r>
          </w:p>
          <w:p w14:paraId="0DD10776" w14:textId="50EEACE5" w:rsidR="00661386" w:rsidRDefault="00661386">
            <w:pPr>
              <w:rPr>
                <w:sz w:val="24"/>
                <w:szCs w:val="24"/>
              </w:rPr>
            </w:pPr>
          </w:p>
          <w:p w14:paraId="52CD6F65" w14:textId="5044B980" w:rsidR="00C15DFA" w:rsidRDefault="00C15DFA">
            <w:pPr>
              <w:rPr>
                <w:b/>
                <w:bCs/>
                <w:sz w:val="24"/>
                <w:szCs w:val="24"/>
              </w:rPr>
            </w:pPr>
            <w:r w:rsidRPr="00C15DFA">
              <w:rPr>
                <w:b/>
                <w:bCs/>
                <w:sz w:val="24"/>
                <w:szCs w:val="24"/>
              </w:rPr>
              <w:t xml:space="preserve">Date of </w:t>
            </w:r>
            <w:r w:rsidR="008E3621">
              <w:rPr>
                <w:b/>
                <w:bCs/>
                <w:sz w:val="24"/>
                <w:szCs w:val="24"/>
              </w:rPr>
              <w:t>Prejudice Test</w:t>
            </w:r>
            <w:r w:rsidR="00661386">
              <w:rPr>
                <w:b/>
                <w:bCs/>
                <w:sz w:val="24"/>
                <w:szCs w:val="24"/>
              </w:rPr>
              <w:t xml:space="preserve"> </w:t>
            </w:r>
            <w:proofErr w:type="spellStart"/>
            <w:r w:rsidR="00661386">
              <w:rPr>
                <w:b/>
                <w:bCs/>
                <w:sz w:val="24"/>
                <w:szCs w:val="24"/>
              </w:rPr>
              <w:t>Test</w:t>
            </w:r>
            <w:proofErr w:type="spellEnd"/>
            <w:r w:rsidRPr="00C15DFA">
              <w:rPr>
                <w:b/>
                <w:bCs/>
                <w:sz w:val="24"/>
                <w:szCs w:val="24"/>
              </w:rPr>
              <w:t xml:space="preserve">: </w:t>
            </w:r>
            <w:r w:rsidR="0036493E">
              <w:rPr>
                <w:b/>
                <w:bCs/>
                <w:sz w:val="24"/>
                <w:szCs w:val="24"/>
              </w:rPr>
              <w:t>11</w:t>
            </w:r>
            <w:r w:rsidR="0036493E" w:rsidRPr="0036493E">
              <w:rPr>
                <w:b/>
                <w:bCs/>
                <w:sz w:val="24"/>
                <w:szCs w:val="24"/>
                <w:vertAlign w:val="superscript"/>
              </w:rPr>
              <w:t>th</w:t>
            </w:r>
            <w:r w:rsidR="0036493E">
              <w:rPr>
                <w:b/>
                <w:bCs/>
                <w:sz w:val="24"/>
                <w:szCs w:val="24"/>
              </w:rPr>
              <w:t xml:space="preserve"> August 2023</w:t>
            </w:r>
          </w:p>
          <w:p w14:paraId="11E1A0FA" w14:textId="4680B5DB" w:rsidR="008E3621" w:rsidRPr="00C15DFA" w:rsidRDefault="008E3621">
            <w:pPr>
              <w:rPr>
                <w:b/>
                <w:bCs/>
                <w:sz w:val="24"/>
                <w:szCs w:val="24"/>
              </w:rPr>
            </w:pPr>
          </w:p>
        </w:tc>
      </w:tr>
    </w:tbl>
    <w:p w14:paraId="75BBAB9B" w14:textId="77777777" w:rsidR="00C43CC8" w:rsidRPr="00C43CC8" w:rsidRDefault="00C43CC8">
      <w:pPr>
        <w:rPr>
          <w:sz w:val="24"/>
          <w:szCs w:val="24"/>
        </w:rPr>
      </w:pPr>
    </w:p>
    <w:sectPr w:rsidR="00C43CC8" w:rsidRPr="00C43CC8" w:rsidSect="00C15DFA">
      <w:headerReference w:type="default" r:id="rId10"/>
      <w:pgSz w:w="11906" w:h="16838"/>
      <w:pgMar w:top="851" w:right="1440"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C61BD" w14:textId="77777777" w:rsidR="00761242" w:rsidRDefault="00761242" w:rsidP="00C43CC8">
      <w:pPr>
        <w:spacing w:after="0" w:line="240" w:lineRule="auto"/>
      </w:pPr>
      <w:r>
        <w:separator/>
      </w:r>
    </w:p>
  </w:endnote>
  <w:endnote w:type="continuationSeparator" w:id="0">
    <w:p w14:paraId="3AA0DB8C" w14:textId="77777777" w:rsidR="00761242" w:rsidRDefault="00761242" w:rsidP="00C43C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5E2D1" w14:textId="77777777" w:rsidR="00761242" w:rsidRDefault="00761242" w:rsidP="00C43CC8">
      <w:pPr>
        <w:spacing w:after="0" w:line="240" w:lineRule="auto"/>
      </w:pPr>
      <w:r>
        <w:separator/>
      </w:r>
    </w:p>
  </w:footnote>
  <w:footnote w:type="continuationSeparator" w:id="0">
    <w:p w14:paraId="57B16624" w14:textId="77777777" w:rsidR="00761242" w:rsidRDefault="00761242" w:rsidP="00C43C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8FE7E" w14:textId="56E5F83A" w:rsidR="00C43CC8" w:rsidRDefault="00C43CC8" w:rsidP="00C43CC8">
    <w:pPr>
      <w:pStyle w:val="Header"/>
      <w:jc w:val="right"/>
    </w:pPr>
    <w:r>
      <w:rPr>
        <w:noProof/>
      </w:rPr>
      <w:drawing>
        <wp:inline distT="0" distB="0" distL="0" distR="0" wp14:anchorId="4F70B3D8" wp14:editId="31B03917">
          <wp:extent cx="1386372" cy="776978"/>
          <wp:effectExtent l="0" t="0" r="4445" b="4445"/>
          <wp:docPr id="1" name="Picture 1" descr="Staffordshire and Stoke-on-Trent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taffordshire and Stoke-on-Trent Integrated Care Board"/>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93579" cy="78101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568F6"/>
    <w:multiLevelType w:val="hybridMultilevel"/>
    <w:tmpl w:val="BFB296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3628D3"/>
    <w:multiLevelType w:val="hybridMultilevel"/>
    <w:tmpl w:val="84729CB6"/>
    <w:lvl w:ilvl="0" w:tplc="BF68A25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21C66E6"/>
    <w:multiLevelType w:val="hybridMultilevel"/>
    <w:tmpl w:val="E6BAFFEE"/>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29EC0AE8"/>
    <w:multiLevelType w:val="hybridMultilevel"/>
    <w:tmpl w:val="F572B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057798"/>
    <w:multiLevelType w:val="hybridMultilevel"/>
    <w:tmpl w:val="ADC841CE"/>
    <w:lvl w:ilvl="0" w:tplc="BF68A25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311528A2"/>
    <w:multiLevelType w:val="hybridMultilevel"/>
    <w:tmpl w:val="64440D08"/>
    <w:lvl w:ilvl="0" w:tplc="4D981584">
      <w:start w:val="1"/>
      <w:numFmt w:val="decimal"/>
      <w:lvlText w:val="%1."/>
      <w:lvlJc w:val="left"/>
      <w:pPr>
        <w:ind w:left="360" w:hanging="360"/>
      </w:pPr>
      <w:rPr>
        <w:rFonts w:hint="default"/>
        <w:b w:val="0"/>
        <w:bCs w:val="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53BB703B"/>
    <w:multiLevelType w:val="hybridMultilevel"/>
    <w:tmpl w:val="911EB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EE0C51"/>
    <w:multiLevelType w:val="hybridMultilevel"/>
    <w:tmpl w:val="ECEE10B2"/>
    <w:lvl w:ilvl="0" w:tplc="4D981584">
      <w:start w:val="1"/>
      <w:numFmt w:val="decimal"/>
      <w:lvlText w:val="%1."/>
      <w:lvlJc w:val="left"/>
      <w:pPr>
        <w:ind w:left="720" w:hanging="360"/>
      </w:pPr>
      <w:rPr>
        <w:rFonts w:hint="default"/>
        <w:b w:val="0"/>
        <w:bCs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1C7594C"/>
    <w:multiLevelType w:val="hybridMultilevel"/>
    <w:tmpl w:val="9D3EC0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24B2B61"/>
    <w:multiLevelType w:val="hybridMultilevel"/>
    <w:tmpl w:val="60784968"/>
    <w:lvl w:ilvl="0" w:tplc="BF68A258">
      <w:start w:val="1"/>
      <w:numFmt w:val="low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750465937">
    <w:abstractNumId w:val="0"/>
  </w:num>
  <w:num w:numId="2" w16cid:durableId="932323155">
    <w:abstractNumId w:val="6"/>
  </w:num>
  <w:num w:numId="3" w16cid:durableId="1768035807">
    <w:abstractNumId w:val="3"/>
  </w:num>
  <w:num w:numId="4" w16cid:durableId="1909151591">
    <w:abstractNumId w:val="8"/>
  </w:num>
  <w:num w:numId="5" w16cid:durableId="1919096378">
    <w:abstractNumId w:val="1"/>
  </w:num>
  <w:num w:numId="6" w16cid:durableId="401490408">
    <w:abstractNumId w:val="4"/>
  </w:num>
  <w:num w:numId="7" w16cid:durableId="1436634905">
    <w:abstractNumId w:val="9"/>
  </w:num>
  <w:num w:numId="8" w16cid:durableId="1418868962">
    <w:abstractNumId w:val="2"/>
  </w:num>
  <w:num w:numId="9" w16cid:durableId="295572842">
    <w:abstractNumId w:val="5"/>
  </w:num>
  <w:num w:numId="10" w16cid:durableId="5159975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CC8"/>
    <w:rsid w:val="000974BC"/>
    <w:rsid w:val="00116F00"/>
    <w:rsid w:val="001A7B9C"/>
    <w:rsid w:val="002E15AB"/>
    <w:rsid w:val="00310920"/>
    <w:rsid w:val="00316B7B"/>
    <w:rsid w:val="003322D4"/>
    <w:rsid w:val="0036493E"/>
    <w:rsid w:val="003D7A1A"/>
    <w:rsid w:val="00445576"/>
    <w:rsid w:val="00527ED4"/>
    <w:rsid w:val="005A5E9B"/>
    <w:rsid w:val="00660FAB"/>
    <w:rsid w:val="00661386"/>
    <w:rsid w:val="00761242"/>
    <w:rsid w:val="007832C5"/>
    <w:rsid w:val="00844EC2"/>
    <w:rsid w:val="008C3EDC"/>
    <w:rsid w:val="008E3621"/>
    <w:rsid w:val="00983F35"/>
    <w:rsid w:val="009A1D62"/>
    <w:rsid w:val="009A62AD"/>
    <w:rsid w:val="009B1F45"/>
    <w:rsid w:val="009B4C81"/>
    <w:rsid w:val="00B2220D"/>
    <w:rsid w:val="00B703AC"/>
    <w:rsid w:val="00B87EDF"/>
    <w:rsid w:val="00C15DFA"/>
    <w:rsid w:val="00C370DA"/>
    <w:rsid w:val="00C43CC8"/>
    <w:rsid w:val="00D52DB1"/>
    <w:rsid w:val="00DB1FF3"/>
    <w:rsid w:val="00DC3ABA"/>
    <w:rsid w:val="00DD2940"/>
    <w:rsid w:val="00E25349"/>
    <w:rsid w:val="00F427BF"/>
    <w:rsid w:val="00F53EB3"/>
    <w:rsid w:val="00F82D65"/>
    <w:rsid w:val="00F87990"/>
    <w:rsid w:val="00FD66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16530"/>
  <w15:chartTrackingRefBased/>
  <w15:docId w15:val="{FCC91AE6-1914-4A70-840F-36304D346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3C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3C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3CC8"/>
  </w:style>
  <w:style w:type="paragraph" w:styleId="Footer">
    <w:name w:val="footer"/>
    <w:basedOn w:val="Normal"/>
    <w:link w:val="FooterChar"/>
    <w:uiPriority w:val="99"/>
    <w:unhideWhenUsed/>
    <w:rsid w:val="00C43C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3CC8"/>
  </w:style>
  <w:style w:type="paragraph" w:styleId="ListParagraph">
    <w:name w:val="List Paragraph"/>
    <w:basedOn w:val="Normal"/>
    <w:uiPriority w:val="34"/>
    <w:qFormat/>
    <w:rsid w:val="00C43CC8"/>
    <w:pPr>
      <w:ind w:left="720"/>
      <w:contextualSpacing/>
    </w:pPr>
  </w:style>
  <w:style w:type="paragraph" w:styleId="NoSpacing">
    <w:name w:val="No Spacing"/>
    <w:uiPriority w:val="1"/>
    <w:qFormat/>
    <w:rsid w:val="000974BC"/>
    <w:pPr>
      <w:spacing w:after="0" w:line="240" w:lineRule="auto"/>
    </w:pPr>
    <w:rPr>
      <w:rFonts w:asciiTheme="minorHAnsi" w:hAnsiTheme="minorHAnsi" w:cstheme="minorBidi"/>
    </w:rPr>
  </w:style>
  <w:style w:type="paragraph" w:styleId="FootnoteText">
    <w:name w:val="footnote text"/>
    <w:basedOn w:val="Normal"/>
    <w:link w:val="FootnoteTextChar"/>
    <w:uiPriority w:val="99"/>
    <w:semiHidden/>
    <w:unhideWhenUsed/>
    <w:rsid w:val="000974BC"/>
    <w:pPr>
      <w:spacing w:after="0" w:line="240" w:lineRule="auto"/>
    </w:pPr>
    <w:rPr>
      <w:rFonts w:ascii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0974BC"/>
    <w:rPr>
      <w:rFonts w:asciiTheme="minorHAnsi" w:hAnsiTheme="minorHAnsi" w:cstheme="minorBidi"/>
      <w:sz w:val="20"/>
      <w:szCs w:val="20"/>
    </w:rPr>
  </w:style>
  <w:style w:type="character" w:styleId="FootnoteReference">
    <w:name w:val="footnote reference"/>
    <w:basedOn w:val="DefaultParagraphFont"/>
    <w:uiPriority w:val="99"/>
    <w:semiHidden/>
    <w:unhideWhenUsed/>
    <w:rsid w:val="000974BC"/>
    <w:rPr>
      <w:vertAlign w:val="superscript"/>
    </w:rPr>
  </w:style>
  <w:style w:type="paragraph" w:styleId="Revision">
    <w:name w:val="Revision"/>
    <w:hidden/>
    <w:uiPriority w:val="99"/>
    <w:semiHidden/>
    <w:rsid w:val="00116F00"/>
    <w:pPr>
      <w:spacing w:after="0" w:line="240" w:lineRule="auto"/>
    </w:pPr>
  </w:style>
  <w:style w:type="character" w:styleId="CommentReference">
    <w:name w:val="annotation reference"/>
    <w:basedOn w:val="DefaultParagraphFont"/>
    <w:uiPriority w:val="99"/>
    <w:semiHidden/>
    <w:unhideWhenUsed/>
    <w:rsid w:val="00116F00"/>
    <w:rPr>
      <w:sz w:val="16"/>
      <w:szCs w:val="16"/>
    </w:rPr>
  </w:style>
  <w:style w:type="paragraph" w:styleId="CommentText">
    <w:name w:val="annotation text"/>
    <w:basedOn w:val="Normal"/>
    <w:link w:val="CommentTextChar"/>
    <w:uiPriority w:val="99"/>
    <w:unhideWhenUsed/>
    <w:rsid w:val="00116F00"/>
    <w:pPr>
      <w:spacing w:line="240" w:lineRule="auto"/>
    </w:pPr>
    <w:rPr>
      <w:sz w:val="20"/>
      <w:szCs w:val="20"/>
    </w:rPr>
  </w:style>
  <w:style w:type="character" w:customStyle="1" w:styleId="CommentTextChar">
    <w:name w:val="Comment Text Char"/>
    <w:basedOn w:val="DefaultParagraphFont"/>
    <w:link w:val="CommentText"/>
    <w:uiPriority w:val="99"/>
    <w:rsid w:val="00116F00"/>
    <w:rPr>
      <w:sz w:val="20"/>
      <w:szCs w:val="20"/>
    </w:rPr>
  </w:style>
  <w:style w:type="paragraph" w:styleId="CommentSubject">
    <w:name w:val="annotation subject"/>
    <w:basedOn w:val="CommentText"/>
    <w:next w:val="CommentText"/>
    <w:link w:val="CommentSubjectChar"/>
    <w:uiPriority w:val="99"/>
    <w:semiHidden/>
    <w:unhideWhenUsed/>
    <w:rsid w:val="00116F00"/>
    <w:rPr>
      <w:b/>
      <w:bCs/>
    </w:rPr>
  </w:style>
  <w:style w:type="character" w:customStyle="1" w:styleId="CommentSubjectChar">
    <w:name w:val="Comment Subject Char"/>
    <w:basedOn w:val="CommentTextChar"/>
    <w:link w:val="CommentSubject"/>
    <w:uiPriority w:val="99"/>
    <w:semiHidden/>
    <w:rsid w:val="00116F0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7784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cid:image003.png@01D874D0.5EA23D2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2665097-959B-44E0-9056-419A880FBC05}">
  <ds:schemaRefs>
    <ds:schemaRef ds:uri="http://schemas.microsoft.com/sharepoint/v3/contenttype/forms"/>
  </ds:schemaRefs>
</ds:datastoreItem>
</file>

<file path=customXml/itemProps2.xml><?xml version="1.0" encoding="utf-8"?>
<ds:datastoreItem xmlns:ds="http://schemas.openxmlformats.org/officeDocument/2006/customXml" ds:itemID="{41878BD8-FCDE-4A28-A376-4B0F91CD2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fa4631-68d2-40c1-92e1-b007552a61a4"/>
    <ds:schemaRef ds:uri="b59ea096-a16f-4c7a-8810-828c72134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05224C-A577-4B84-A6B4-64DAEC1EF318}">
  <ds:schemaRefs>
    <ds:schemaRef ds:uri="http://schemas.microsoft.com/office/2006/metadata/properties"/>
    <ds:schemaRef ds:uri="http://schemas.microsoft.com/office/infopath/2007/PartnerControls"/>
    <ds:schemaRef ds:uri="19fa4631-68d2-40c1-92e1-b007552a61a4"/>
    <ds:schemaRef ds:uri="b59ea096-a16f-4c7a-8810-828c72134bc4"/>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1040</Words>
  <Characters>5934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Brown (QNC) SSOT ICB</dc:creator>
  <cp:keywords/>
  <dc:description/>
  <cp:lastModifiedBy>Andrea Brown (QNC) SSOT ICB</cp:lastModifiedBy>
  <cp:revision>3</cp:revision>
  <dcterms:created xsi:type="dcterms:W3CDTF">2023-07-28T14:37:00Z</dcterms:created>
  <dcterms:modified xsi:type="dcterms:W3CDTF">2023-08-11T12:11:00Z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y fmtid="{D5CDD505-2E9C-101B-9397-08002B2CF9AE}" pid="3" name="MediaServiceImageTags">
    <vt:lpwstr/>
  </property>
</Properties>
</file>