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F4FD62" w14:textId="4EFE06FF" w:rsidR="00CF0F99" w:rsidRPr="0004034B" w:rsidRDefault="00284218">
      <w:pPr>
        <w:rPr>
          <w:rFonts w:ascii="Arial" w:hAnsi="Arial" w:cs="Arial"/>
          <w:b/>
          <w:sz w:val="24"/>
          <w:szCs w:val="24"/>
        </w:rPr>
      </w:pPr>
      <w:bookmarkStart w:id="0" w:name="_GoBack"/>
      <w:bookmarkEnd w:id="0"/>
      <w:r w:rsidRPr="0004034B">
        <w:rPr>
          <w:rFonts w:ascii="Arial" w:hAnsi="Arial" w:cs="Arial"/>
          <w:b/>
          <w:sz w:val="24"/>
          <w:szCs w:val="24"/>
        </w:rPr>
        <w:t xml:space="preserve">Proposed Financial </w:t>
      </w:r>
      <w:r w:rsidR="006541B9" w:rsidRPr="006541B9">
        <w:rPr>
          <w:rFonts w:ascii="Arial" w:hAnsi="Arial" w:cs="Arial"/>
          <w:b/>
          <w:sz w:val="24"/>
          <w:szCs w:val="24"/>
        </w:rPr>
        <w:t xml:space="preserve">Transitional </w:t>
      </w:r>
      <w:r w:rsidR="006821EE" w:rsidRPr="006541B9">
        <w:rPr>
          <w:rFonts w:ascii="Arial" w:hAnsi="Arial" w:cs="Arial"/>
          <w:b/>
          <w:sz w:val="24"/>
          <w:szCs w:val="24"/>
        </w:rPr>
        <w:t>Risk</w:t>
      </w:r>
      <w:r w:rsidR="006821EE" w:rsidRPr="0004034B">
        <w:rPr>
          <w:rFonts w:ascii="Arial" w:hAnsi="Arial" w:cs="Arial"/>
          <w:b/>
          <w:sz w:val="24"/>
          <w:szCs w:val="24"/>
        </w:rPr>
        <w:t xml:space="preserve"> </w:t>
      </w:r>
      <w:r w:rsidRPr="0004034B">
        <w:rPr>
          <w:rFonts w:ascii="Arial" w:hAnsi="Arial" w:cs="Arial"/>
          <w:b/>
          <w:sz w:val="24"/>
          <w:szCs w:val="24"/>
        </w:rPr>
        <w:t>Framework</w:t>
      </w:r>
      <w:r w:rsidR="006821EE" w:rsidRPr="0004034B">
        <w:rPr>
          <w:rFonts w:ascii="Arial" w:hAnsi="Arial" w:cs="Arial"/>
          <w:b/>
          <w:sz w:val="24"/>
          <w:szCs w:val="24"/>
        </w:rPr>
        <w:t xml:space="preserve"> – </w:t>
      </w:r>
      <w:r w:rsidR="0004034B" w:rsidRPr="0004034B">
        <w:rPr>
          <w:rFonts w:ascii="Arial" w:hAnsi="Arial" w:cs="Arial"/>
          <w:b/>
          <w:sz w:val="24"/>
          <w:szCs w:val="24"/>
        </w:rPr>
        <w:t>Pharmacy, Optometry, and Dentistry (PODs)</w:t>
      </w:r>
    </w:p>
    <w:p w14:paraId="51A9530B" w14:textId="328F449F" w:rsidR="00EA71A3" w:rsidRPr="0004034B" w:rsidRDefault="00EA71A3" w:rsidP="002D36E6">
      <w:pPr>
        <w:pStyle w:val="ListParagraph"/>
        <w:numPr>
          <w:ilvl w:val="0"/>
          <w:numId w:val="11"/>
        </w:numPr>
        <w:rPr>
          <w:rFonts w:ascii="Arial" w:hAnsi="Arial" w:cs="Arial"/>
          <w:b/>
          <w:sz w:val="24"/>
          <w:szCs w:val="24"/>
        </w:rPr>
      </w:pPr>
      <w:r w:rsidRPr="0004034B">
        <w:rPr>
          <w:rFonts w:ascii="Arial" w:hAnsi="Arial" w:cs="Arial"/>
          <w:b/>
          <w:sz w:val="24"/>
          <w:szCs w:val="24"/>
        </w:rPr>
        <w:t xml:space="preserve">Changes to </w:t>
      </w:r>
      <w:r w:rsidR="008E04D4" w:rsidRPr="0004034B">
        <w:rPr>
          <w:rFonts w:ascii="Arial" w:hAnsi="Arial" w:cs="Arial"/>
          <w:b/>
          <w:sz w:val="24"/>
          <w:szCs w:val="24"/>
        </w:rPr>
        <w:t>Delegation</w:t>
      </w:r>
    </w:p>
    <w:p w14:paraId="6228275A" w14:textId="5D85FFCD" w:rsidR="008E04D4" w:rsidRPr="0004034B" w:rsidRDefault="008E04D4" w:rsidP="00CF09C5">
      <w:pPr>
        <w:jc w:val="both"/>
        <w:rPr>
          <w:rFonts w:ascii="Arial" w:hAnsi="Arial" w:cs="Arial"/>
        </w:rPr>
      </w:pPr>
      <w:r w:rsidRPr="0004034B">
        <w:rPr>
          <w:rFonts w:ascii="Arial" w:hAnsi="Arial" w:cs="Arial"/>
        </w:rPr>
        <w:t xml:space="preserve">This document has been written in response to the upcoming delegation of </w:t>
      </w:r>
      <w:r w:rsidR="0004034B" w:rsidRPr="0004034B">
        <w:rPr>
          <w:rFonts w:ascii="Arial" w:hAnsi="Arial" w:cs="Arial"/>
        </w:rPr>
        <w:t>Pharmacy, Optometry, and Dentistry (PODs)</w:t>
      </w:r>
      <w:r w:rsidRPr="0004034B">
        <w:rPr>
          <w:rFonts w:ascii="Arial" w:hAnsi="Arial" w:cs="Arial"/>
        </w:rPr>
        <w:t xml:space="preserve"> commissioning to Integrated Care Boards (ICBs</w:t>
      </w:r>
      <w:proofErr w:type="gramStart"/>
      <w:r w:rsidRPr="0004034B">
        <w:rPr>
          <w:rFonts w:ascii="Arial" w:hAnsi="Arial" w:cs="Arial"/>
        </w:rPr>
        <w:t>)(</w:t>
      </w:r>
      <w:proofErr w:type="gramEnd"/>
      <w:r w:rsidRPr="0004034B">
        <w:rPr>
          <w:rFonts w:ascii="Arial" w:hAnsi="Arial" w:cs="Arial"/>
        </w:rPr>
        <w:t xml:space="preserve">1).  In November 2022 its expected that Midlands region ICBs the Midlands region will apply for delegation of these services to commence from </w:t>
      </w:r>
      <w:r w:rsidRPr="006541B9">
        <w:rPr>
          <w:rFonts w:ascii="Arial" w:hAnsi="Arial" w:cs="Arial"/>
        </w:rPr>
        <w:t>April 2023.</w:t>
      </w:r>
    </w:p>
    <w:p w14:paraId="61E73F9C" w14:textId="095CB3FA" w:rsidR="00EB5BAA" w:rsidRPr="0004034B" w:rsidRDefault="006821EE" w:rsidP="00EB5BAA">
      <w:pPr>
        <w:pStyle w:val="ListParagraph"/>
        <w:numPr>
          <w:ilvl w:val="0"/>
          <w:numId w:val="16"/>
        </w:numPr>
        <w:jc w:val="both"/>
        <w:rPr>
          <w:rFonts w:ascii="Arial" w:hAnsi="Arial" w:cs="Arial"/>
        </w:rPr>
      </w:pPr>
      <w:r w:rsidRPr="0004034B">
        <w:rPr>
          <w:rFonts w:ascii="Arial" w:hAnsi="Arial" w:cs="Arial"/>
        </w:rPr>
        <w:t>This</w:t>
      </w:r>
      <w:r w:rsidR="00EA71A3" w:rsidRPr="0004034B">
        <w:rPr>
          <w:rFonts w:ascii="Arial" w:hAnsi="Arial" w:cs="Arial"/>
        </w:rPr>
        <w:t xml:space="preserve"> document has been written prior to statutory changes relating to </w:t>
      </w:r>
      <w:r w:rsidR="00CF09C5" w:rsidRPr="0004034B">
        <w:rPr>
          <w:rFonts w:ascii="Arial" w:hAnsi="Arial" w:cs="Arial"/>
        </w:rPr>
        <w:t>Clinical Commissioning Groups (</w:t>
      </w:r>
      <w:r w:rsidR="00EA71A3" w:rsidRPr="0004034B">
        <w:rPr>
          <w:rFonts w:ascii="Arial" w:hAnsi="Arial" w:cs="Arial"/>
        </w:rPr>
        <w:t>CCGs</w:t>
      </w:r>
      <w:r w:rsidR="00CF09C5" w:rsidRPr="0004034B">
        <w:rPr>
          <w:rFonts w:ascii="Arial" w:hAnsi="Arial" w:cs="Arial"/>
        </w:rPr>
        <w:t>)</w:t>
      </w:r>
      <w:r w:rsidR="00EA71A3" w:rsidRPr="0004034B">
        <w:rPr>
          <w:rFonts w:ascii="Arial" w:hAnsi="Arial" w:cs="Arial"/>
        </w:rPr>
        <w:t xml:space="preserve"> and </w:t>
      </w:r>
      <w:r w:rsidR="00CF09C5" w:rsidRPr="0004034B">
        <w:rPr>
          <w:rFonts w:ascii="Arial" w:hAnsi="Arial" w:cs="Arial"/>
        </w:rPr>
        <w:t xml:space="preserve">Integrated Care </w:t>
      </w:r>
      <w:r w:rsidR="0049107A" w:rsidRPr="0004034B">
        <w:rPr>
          <w:rFonts w:ascii="Arial" w:hAnsi="Arial" w:cs="Arial"/>
        </w:rPr>
        <w:t>systems (ICS)</w:t>
      </w:r>
      <w:r w:rsidR="00EA71A3" w:rsidRPr="0004034B">
        <w:rPr>
          <w:rFonts w:ascii="Arial" w:hAnsi="Arial" w:cs="Arial"/>
        </w:rPr>
        <w:t xml:space="preserve">.  On the 1st </w:t>
      </w:r>
      <w:r w:rsidR="008E04D4" w:rsidRPr="0004034B">
        <w:rPr>
          <w:rFonts w:ascii="Arial" w:hAnsi="Arial" w:cs="Arial"/>
        </w:rPr>
        <w:t>July</w:t>
      </w:r>
      <w:r w:rsidR="00EA71A3" w:rsidRPr="0004034B">
        <w:rPr>
          <w:rFonts w:ascii="Arial" w:hAnsi="Arial" w:cs="Arial"/>
        </w:rPr>
        <w:t xml:space="preserve"> 2022 </w:t>
      </w:r>
      <w:r w:rsidR="008E04D4" w:rsidRPr="0004034B">
        <w:rPr>
          <w:rFonts w:ascii="Arial" w:hAnsi="Arial" w:cs="Arial"/>
        </w:rPr>
        <w:t>ICBs</w:t>
      </w:r>
      <w:r w:rsidR="00EA71A3" w:rsidRPr="0004034B">
        <w:rPr>
          <w:rFonts w:ascii="Arial" w:hAnsi="Arial" w:cs="Arial"/>
        </w:rPr>
        <w:t xml:space="preserve"> will become a </w:t>
      </w:r>
      <w:r w:rsidRPr="0004034B">
        <w:rPr>
          <w:rFonts w:ascii="Arial" w:hAnsi="Arial" w:cs="Arial"/>
        </w:rPr>
        <w:t>statutory body</w:t>
      </w:r>
      <w:r w:rsidR="00C076BF" w:rsidRPr="0004034B">
        <w:rPr>
          <w:rFonts w:ascii="Arial" w:hAnsi="Arial" w:cs="Arial"/>
        </w:rPr>
        <w:t>.</w:t>
      </w:r>
    </w:p>
    <w:p w14:paraId="44712096" w14:textId="77777777" w:rsidR="00EB5BAA" w:rsidRPr="0004034B" w:rsidRDefault="00EB5BAA" w:rsidP="00EB5BAA">
      <w:pPr>
        <w:pStyle w:val="ListParagraph"/>
        <w:ind w:left="792"/>
        <w:jc w:val="both"/>
        <w:rPr>
          <w:rFonts w:ascii="Arial" w:hAnsi="Arial" w:cs="Arial"/>
        </w:rPr>
      </w:pPr>
    </w:p>
    <w:p w14:paraId="50913C3B" w14:textId="0C17DFEF" w:rsidR="00EB5BAA" w:rsidRPr="0004034B" w:rsidRDefault="00284218" w:rsidP="00EB5BAA">
      <w:pPr>
        <w:pStyle w:val="ListParagraph"/>
        <w:numPr>
          <w:ilvl w:val="0"/>
          <w:numId w:val="11"/>
        </w:numPr>
        <w:rPr>
          <w:rFonts w:ascii="Arial" w:hAnsi="Arial" w:cs="Arial"/>
          <w:b/>
          <w:sz w:val="24"/>
          <w:szCs w:val="24"/>
        </w:rPr>
      </w:pPr>
      <w:r w:rsidRPr="0004034B">
        <w:rPr>
          <w:rFonts w:ascii="Arial" w:hAnsi="Arial" w:cs="Arial"/>
          <w:b/>
          <w:sz w:val="24"/>
          <w:szCs w:val="24"/>
        </w:rPr>
        <w:t xml:space="preserve">What is a financial </w:t>
      </w:r>
      <w:r w:rsidR="008E04D4" w:rsidRPr="0004034B">
        <w:rPr>
          <w:rFonts w:ascii="Arial" w:hAnsi="Arial" w:cs="Arial"/>
          <w:b/>
          <w:sz w:val="24"/>
          <w:szCs w:val="24"/>
        </w:rPr>
        <w:t>risk f</w:t>
      </w:r>
      <w:r w:rsidRPr="0004034B">
        <w:rPr>
          <w:rFonts w:ascii="Arial" w:hAnsi="Arial" w:cs="Arial"/>
          <w:b/>
          <w:sz w:val="24"/>
          <w:szCs w:val="24"/>
        </w:rPr>
        <w:t>ramework?</w:t>
      </w:r>
    </w:p>
    <w:p w14:paraId="563A3C05" w14:textId="5BBCE288" w:rsidR="00A00A47" w:rsidRPr="00095D59" w:rsidRDefault="008E04D4" w:rsidP="00327E42">
      <w:pPr>
        <w:jc w:val="both"/>
        <w:rPr>
          <w:rFonts w:ascii="Arial" w:hAnsi="Arial" w:cs="Arial"/>
        </w:rPr>
      </w:pPr>
      <w:r w:rsidRPr="0004034B">
        <w:rPr>
          <w:rFonts w:ascii="Arial" w:hAnsi="Arial" w:cs="Arial"/>
        </w:rPr>
        <w:t>The financial risk f</w:t>
      </w:r>
      <w:r w:rsidR="00284218" w:rsidRPr="0004034B">
        <w:rPr>
          <w:rFonts w:ascii="Arial" w:hAnsi="Arial" w:cs="Arial"/>
        </w:rPr>
        <w:t>ramework is a set of rules</w:t>
      </w:r>
      <w:r w:rsidR="00EB5BAA" w:rsidRPr="0004034B">
        <w:rPr>
          <w:rFonts w:ascii="Arial" w:hAnsi="Arial" w:cs="Arial"/>
        </w:rPr>
        <w:t xml:space="preserve"> and behaviours (as set out in section 5)</w:t>
      </w:r>
      <w:r w:rsidR="00284218" w:rsidRPr="0004034B">
        <w:rPr>
          <w:rFonts w:ascii="Arial" w:hAnsi="Arial" w:cs="Arial"/>
        </w:rPr>
        <w:t xml:space="preserve"> which govern the way we manage </w:t>
      </w:r>
      <w:r w:rsidRPr="0004034B">
        <w:rPr>
          <w:rFonts w:ascii="Arial" w:hAnsi="Arial" w:cs="Arial"/>
        </w:rPr>
        <w:t xml:space="preserve">the risk that may arise </w:t>
      </w:r>
      <w:r w:rsidR="00EC6FDD">
        <w:rPr>
          <w:rFonts w:ascii="Arial" w:hAnsi="Arial" w:cs="Arial"/>
        </w:rPr>
        <w:t>from variation in</w:t>
      </w:r>
      <w:r w:rsidRPr="0004034B">
        <w:rPr>
          <w:rFonts w:ascii="Arial" w:hAnsi="Arial" w:cs="Arial"/>
        </w:rPr>
        <w:t xml:space="preserve"> </w:t>
      </w:r>
      <w:r w:rsidR="00EC6FDD">
        <w:rPr>
          <w:rFonts w:ascii="Arial" w:hAnsi="Arial" w:cs="Arial"/>
        </w:rPr>
        <w:t>POD</w:t>
      </w:r>
      <w:r w:rsidRPr="0004034B">
        <w:rPr>
          <w:rFonts w:ascii="Arial" w:hAnsi="Arial" w:cs="Arial"/>
        </w:rPr>
        <w:t xml:space="preserve"> budgets between delegated ICBs of the Mid</w:t>
      </w:r>
      <w:r w:rsidRPr="00095D59">
        <w:rPr>
          <w:rFonts w:ascii="Arial" w:hAnsi="Arial" w:cs="Arial"/>
        </w:rPr>
        <w:t>lands Region.</w:t>
      </w:r>
      <w:r w:rsidR="003E4E7A" w:rsidRPr="00095D59">
        <w:rPr>
          <w:rFonts w:ascii="Arial" w:hAnsi="Arial" w:cs="Arial"/>
        </w:rPr>
        <w:t xml:space="preserve"> This will be to mitigate the potential risks to systems from allocation methodology change, as well as in year budget variation </w:t>
      </w:r>
      <w:r w:rsidR="00EC6FDD" w:rsidRPr="00095D59">
        <w:rPr>
          <w:rFonts w:ascii="Arial" w:hAnsi="Arial" w:cs="Arial"/>
        </w:rPr>
        <w:t>in year by ICB due to unknown factors</w:t>
      </w:r>
      <w:r w:rsidR="003E4E7A" w:rsidRPr="00095D59">
        <w:rPr>
          <w:rFonts w:ascii="Arial" w:hAnsi="Arial" w:cs="Arial"/>
        </w:rPr>
        <w:t>.</w:t>
      </w:r>
      <w:r w:rsidR="00EC6FDD" w:rsidRPr="00095D59">
        <w:rPr>
          <w:rFonts w:ascii="Arial" w:hAnsi="Arial" w:cs="Arial"/>
        </w:rPr>
        <w:t xml:space="preserve"> This will not include risk sharing as a result of individual commissioning </w:t>
      </w:r>
      <w:proofErr w:type="gramStart"/>
      <w:r w:rsidR="00EC6FDD" w:rsidRPr="00095D59">
        <w:rPr>
          <w:rFonts w:ascii="Arial" w:hAnsi="Arial" w:cs="Arial"/>
        </w:rPr>
        <w:t>decisions</w:t>
      </w:r>
      <w:proofErr w:type="gramEnd"/>
      <w:r w:rsidR="00EC6FDD" w:rsidRPr="00095D59">
        <w:rPr>
          <w:rFonts w:ascii="Arial" w:hAnsi="Arial" w:cs="Arial"/>
        </w:rPr>
        <w:t xml:space="preserve"> made by ICBs.</w:t>
      </w:r>
      <w:r w:rsidR="00873FD1" w:rsidRPr="00095D59">
        <w:rPr>
          <w:rFonts w:ascii="Arial" w:hAnsi="Arial" w:cs="Arial"/>
        </w:rPr>
        <w:t xml:space="preserve"> The focus of this risk share being a pooling of resources </w:t>
      </w:r>
      <w:r w:rsidR="00141EDA" w:rsidRPr="00095D59">
        <w:rPr>
          <w:rFonts w:ascii="Arial" w:hAnsi="Arial" w:cs="Arial"/>
        </w:rPr>
        <w:t>enabling</w:t>
      </w:r>
      <w:r w:rsidR="00873FD1" w:rsidRPr="00095D59">
        <w:rPr>
          <w:rFonts w:ascii="Arial" w:hAnsi="Arial" w:cs="Arial"/>
        </w:rPr>
        <w:t xml:space="preserve"> ri</w:t>
      </w:r>
      <w:r w:rsidR="00141EDA" w:rsidRPr="00095D59">
        <w:rPr>
          <w:rFonts w:ascii="Arial" w:hAnsi="Arial" w:cs="Arial"/>
        </w:rPr>
        <w:t>s</w:t>
      </w:r>
      <w:r w:rsidR="00873FD1" w:rsidRPr="00095D59">
        <w:rPr>
          <w:rFonts w:ascii="Arial" w:hAnsi="Arial" w:cs="Arial"/>
        </w:rPr>
        <w:t xml:space="preserve">ks </w:t>
      </w:r>
      <w:r w:rsidR="00141EDA" w:rsidRPr="00095D59">
        <w:rPr>
          <w:rFonts w:ascii="Arial" w:hAnsi="Arial" w:cs="Arial"/>
        </w:rPr>
        <w:t>to be</w:t>
      </w:r>
      <w:r w:rsidR="00873FD1" w:rsidRPr="00095D59">
        <w:rPr>
          <w:rFonts w:ascii="Arial" w:hAnsi="Arial" w:cs="Arial"/>
        </w:rPr>
        <w:t xml:space="preserve"> understood, as well as the impact of overspend risk</w:t>
      </w:r>
      <w:r w:rsidR="00095D59" w:rsidRPr="00095D59">
        <w:rPr>
          <w:rFonts w:ascii="Arial" w:hAnsi="Arial" w:cs="Arial"/>
        </w:rPr>
        <w:t>.</w:t>
      </w:r>
    </w:p>
    <w:p w14:paraId="640D7DF6" w14:textId="1302CF41" w:rsidR="00095D59" w:rsidRPr="00095D59" w:rsidRDefault="00095D59" w:rsidP="00327E42">
      <w:pPr>
        <w:jc w:val="both"/>
        <w:rPr>
          <w:rFonts w:ascii="Arial" w:hAnsi="Arial" w:cs="Arial"/>
        </w:rPr>
      </w:pPr>
      <w:r w:rsidRPr="00095D59">
        <w:rPr>
          <w:rFonts w:ascii="Arial" w:hAnsi="Arial" w:cs="Arial"/>
        </w:rPr>
        <w:t>It should be noted that the risk framework is intended to support the transition, and therefore will require review to determine its continuation or cessation.</w:t>
      </w:r>
    </w:p>
    <w:p w14:paraId="52B4C8F8" w14:textId="262281A9" w:rsidR="00873FD1" w:rsidRPr="0004034B" w:rsidRDefault="008E04D4" w:rsidP="00873FD1">
      <w:pPr>
        <w:jc w:val="both"/>
        <w:rPr>
          <w:rFonts w:ascii="Arial" w:hAnsi="Arial" w:cs="Arial"/>
        </w:rPr>
      </w:pPr>
      <w:r w:rsidRPr="00095D59">
        <w:rPr>
          <w:rFonts w:ascii="Arial" w:hAnsi="Arial" w:cs="Arial"/>
        </w:rPr>
        <w:t>The document aims to des</w:t>
      </w:r>
      <w:r w:rsidRPr="0004034B">
        <w:rPr>
          <w:rFonts w:ascii="Arial" w:hAnsi="Arial" w:cs="Arial"/>
        </w:rPr>
        <w:t>cribe</w:t>
      </w:r>
      <w:r w:rsidR="00873FD1" w:rsidRPr="0004034B">
        <w:rPr>
          <w:rFonts w:ascii="Arial" w:hAnsi="Arial" w:cs="Arial"/>
        </w:rPr>
        <w:t>;</w:t>
      </w:r>
    </w:p>
    <w:p w14:paraId="131D6595" w14:textId="451A1211" w:rsidR="00A00A47" w:rsidRPr="000F3468" w:rsidRDefault="00873FD1" w:rsidP="00327E42">
      <w:pPr>
        <w:pStyle w:val="ListParagraph"/>
        <w:numPr>
          <w:ilvl w:val="0"/>
          <w:numId w:val="7"/>
        </w:numPr>
        <w:jc w:val="both"/>
        <w:rPr>
          <w:rFonts w:ascii="Arial" w:hAnsi="Arial" w:cs="Arial"/>
        </w:rPr>
      </w:pPr>
      <w:r w:rsidRPr="000F3468">
        <w:rPr>
          <w:rFonts w:ascii="Arial" w:hAnsi="Arial" w:cs="Arial"/>
        </w:rPr>
        <w:t>H</w:t>
      </w:r>
      <w:r w:rsidR="008E04D4" w:rsidRPr="000F3468">
        <w:rPr>
          <w:rFonts w:ascii="Arial" w:hAnsi="Arial" w:cs="Arial"/>
        </w:rPr>
        <w:t xml:space="preserve">ow </w:t>
      </w:r>
      <w:r w:rsidR="006821EE" w:rsidRPr="000F3468">
        <w:rPr>
          <w:rFonts w:ascii="Arial" w:hAnsi="Arial" w:cs="Arial"/>
        </w:rPr>
        <w:t>over,</w:t>
      </w:r>
      <w:r w:rsidR="008E04D4" w:rsidRPr="000F3468">
        <w:rPr>
          <w:rFonts w:ascii="Arial" w:hAnsi="Arial" w:cs="Arial"/>
        </w:rPr>
        <w:t xml:space="preserve"> and underspends are managed within the </w:t>
      </w:r>
      <w:r w:rsidRPr="000F3468">
        <w:rPr>
          <w:rFonts w:ascii="Arial" w:hAnsi="Arial" w:cs="Arial"/>
        </w:rPr>
        <w:t>regional hosted service,</w:t>
      </w:r>
    </w:p>
    <w:p w14:paraId="52DDD662" w14:textId="1433E1DB" w:rsidR="00861CF8" w:rsidRPr="000F3468" w:rsidRDefault="00861CF8" w:rsidP="00861CF8">
      <w:pPr>
        <w:pStyle w:val="ListParagraph"/>
        <w:numPr>
          <w:ilvl w:val="0"/>
          <w:numId w:val="7"/>
        </w:numPr>
        <w:jc w:val="both"/>
        <w:rPr>
          <w:rFonts w:ascii="Arial" w:hAnsi="Arial" w:cs="Arial"/>
        </w:rPr>
      </w:pPr>
      <w:r w:rsidRPr="000F3468">
        <w:rPr>
          <w:rFonts w:ascii="Arial" w:hAnsi="Arial" w:cs="Arial"/>
        </w:rPr>
        <w:t>How the changes to services are managed between organisations and services</w:t>
      </w:r>
      <w:r w:rsidR="00873FD1" w:rsidRPr="000F3468">
        <w:rPr>
          <w:rFonts w:ascii="Arial" w:hAnsi="Arial" w:cs="Arial"/>
        </w:rPr>
        <w:t>,</w:t>
      </w:r>
    </w:p>
    <w:p w14:paraId="69CECFD5" w14:textId="0305916F" w:rsidR="00A00A47" w:rsidRPr="0004034B" w:rsidRDefault="00141EDA" w:rsidP="00327E42">
      <w:pPr>
        <w:pStyle w:val="ListParagraph"/>
        <w:numPr>
          <w:ilvl w:val="0"/>
          <w:numId w:val="7"/>
        </w:numPr>
        <w:jc w:val="both"/>
        <w:rPr>
          <w:rFonts w:ascii="Arial" w:hAnsi="Arial" w:cs="Arial"/>
        </w:rPr>
      </w:pPr>
      <w:r w:rsidRPr="0004034B">
        <w:rPr>
          <w:rFonts w:ascii="Arial" w:hAnsi="Arial" w:cs="Arial"/>
        </w:rPr>
        <w:t>The</w:t>
      </w:r>
      <w:r w:rsidR="008E04D4" w:rsidRPr="0004034B">
        <w:rPr>
          <w:rFonts w:ascii="Arial" w:hAnsi="Arial" w:cs="Arial"/>
        </w:rPr>
        <w:t xml:space="preserve"> risk mechanism that is in place</w:t>
      </w:r>
      <w:r w:rsidR="00873FD1" w:rsidRPr="0004034B">
        <w:rPr>
          <w:rFonts w:ascii="Arial" w:hAnsi="Arial" w:cs="Arial"/>
        </w:rPr>
        <w:t>,</w:t>
      </w:r>
    </w:p>
    <w:p w14:paraId="58771FED" w14:textId="6163820E" w:rsidR="00EB5BAA" w:rsidRPr="0004034B" w:rsidRDefault="00141EDA" w:rsidP="00EB5BAA">
      <w:pPr>
        <w:pStyle w:val="ListParagraph"/>
        <w:numPr>
          <w:ilvl w:val="0"/>
          <w:numId w:val="7"/>
        </w:numPr>
        <w:jc w:val="both"/>
        <w:rPr>
          <w:rFonts w:ascii="Arial" w:hAnsi="Arial" w:cs="Arial"/>
        </w:rPr>
      </w:pPr>
      <w:r w:rsidRPr="0004034B">
        <w:rPr>
          <w:rFonts w:ascii="Arial" w:hAnsi="Arial" w:cs="Arial"/>
        </w:rPr>
        <w:t>The</w:t>
      </w:r>
      <w:r w:rsidR="008E04D4" w:rsidRPr="0004034B">
        <w:rPr>
          <w:rFonts w:ascii="Arial" w:hAnsi="Arial" w:cs="Arial"/>
        </w:rPr>
        <w:t xml:space="preserve"> </w:t>
      </w:r>
      <w:r w:rsidRPr="0004034B">
        <w:rPr>
          <w:rFonts w:ascii="Arial" w:hAnsi="Arial" w:cs="Arial"/>
        </w:rPr>
        <w:t>process</w:t>
      </w:r>
      <w:r w:rsidR="008E04D4" w:rsidRPr="0004034B">
        <w:rPr>
          <w:rFonts w:ascii="Arial" w:hAnsi="Arial" w:cs="Arial"/>
        </w:rPr>
        <w:t xml:space="preserve"> for changes to the risk mechanism</w:t>
      </w:r>
      <w:r w:rsidR="00873FD1" w:rsidRPr="0004034B">
        <w:rPr>
          <w:rFonts w:ascii="Arial" w:hAnsi="Arial" w:cs="Arial"/>
        </w:rPr>
        <w:t>.</w:t>
      </w:r>
    </w:p>
    <w:p w14:paraId="535727AE" w14:textId="77777777" w:rsidR="002D36E6" w:rsidRPr="0004034B" w:rsidRDefault="002D36E6" w:rsidP="00327E42">
      <w:pPr>
        <w:pStyle w:val="ListParagraph"/>
        <w:jc w:val="both"/>
        <w:rPr>
          <w:rFonts w:ascii="Arial" w:hAnsi="Arial" w:cs="Arial"/>
        </w:rPr>
      </w:pPr>
    </w:p>
    <w:p w14:paraId="519A0D7C" w14:textId="781494E5" w:rsidR="00DB25DF" w:rsidRPr="0004034B" w:rsidRDefault="00DB25DF" w:rsidP="00327E42">
      <w:pPr>
        <w:pStyle w:val="ListParagraph"/>
        <w:numPr>
          <w:ilvl w:val="0"/>
          <w:numId w:val="11"/>
        </w:numPr>
        <w:jc w:val="both"/>
        <w:rPr>
          <w:rFonts w:ascii="Arial" w:hAnsi="Arial" w:cs="Arial"/>
          <w:b/>
          <w:sz w:val="24"/>
          <w:szCs w:val="24"/>
        </w:rPr>
      </w:pPr>
      <w:r w:rsidRPr="0004034B">
        <w:rPr>
          <w:rFonts w:ascii="Arial" w:hAnsi="Arial" w:cs="Arial"/>
          <w:b/>
          <w:sz w:val="24"/>
          <w:szCs w:val="24"/>
        </w:rPr>
        <w:t>Who</w:t>
      </w:r>
      <w:r w:rsidR="0096713C" w:rsidRPr="0004034B">
        <w:rPr>
          <w:rFonts w:ascii="Arial" w:hAnsi="Arial" w:cs="Arial"/>
          <w:b/>
          <w:sz w:val="24"/>
          <w:szCs w:val="24"/>
        </w:rPr>
        <w:t>/What</w:t>
      </w:r>
      <w:r w:rsidRPr="0004034B">
        <w:rPr>
          <w:rFonts w:ascii="Arial" w:hAnsi="Arial" w:cs="Arial"/>
          <w:b/>
          <w:sz w:val="24"/>
          <w:szCs w:val="24"/>
        </w:rPr>
        <w:t xml:space="preserve"> do</w:t>
      </w:r>
      <w:r w:rsidR="00505AB0" w:rsidRPr="0004034B">
        <w:rPr>
          <w:rFonts w:ascii="Arial" w:hAnsi="Arial" w:cs="Arial"/>
          <w:b/>
          <w:sz w:val="24"/>
          <w:szCs w:val="24"/>
        </w:rPr>
        <w:t>es</w:t>
      </w:r>
      <w:r w:rsidRPr="0004034B">
        <w:rPr>
          <w:rFonts w:ascii="Arial" w:hAnsi="Arial" w:cs="Arial"/>
          <w:b/>
          <w:sz w:val="24"/>
          <w:szCs w:val="24"/>
        </w:rPr>
        <w:t xml:space="preserve"> this document concern?</w:t>
      </w:r>
    </w:p>
    <w:p w14:paraId="1E042EA2" w14:textId="473016ED" w:rsidR="00DB25DF" w:rsidRDefault="00DB25DF" w:rsidP="00327E42">
      <w:pPr>
        <w:jc w:val="both"/>
        <w:rPr>
          <w:rFonts w:ascii="Arial" w:hAnsi="Arial" w:cs="Arial"/>
          <w:highlight w:val="yellow"/>
        </w:rPr>
      </w:pPr>
      <w:r w:rsidRPr="0004034B">
        <w:rPr>
          <w:rFonts w:ascii="Arial" w:hAnsi="Arial" w:cs="Arial"/>
        </w:rPr>
        <w:t xml:space="preserve">This document is </w:t>
      </w:r>
      <w:r w:rsidR="008E04D4" w:rsidRPr="0004034B">
        <w:rPr>
          <w:rFonts w:ascii="Arial" w:hAnsi="Arial" w:cs="Arial"/>
        </w:rPr>
        <w:t>intended for all ICBs within the Midlands Region that will be in receipt of delegated budgets at the 1</w:t>
      </w:r>
      <w:r w:rsidR="008E04D4" w:rsidRPr="0004034B">
        <w:rPr>
          <w:rFonts w:ascii="Arial" w:hAnsi="Arial" w:cs="Arial"/>
          <w:vertAlign w:val="superscript"/>
        </w:rPr>
        <w:t>st</w:t>
      </w:r>
      <w:r w:rsidR="008E04D4" w:rsidRPr="0004034B">
        <w:rPr>
          <w:rFonts w:ascii="Arial" w:hAnsi="Arial" w:cs="Arial"/>
        </w:rPr>
        <w:t xml:space="preserve"> April 202</w:t>
      </w:r>
      <w:r w:rsidR="000F3468">
        <w:rPr>
          <w:rFonts w:ascii="Arial" w:hAnsi="Arial" w:cs="Arial"/>
        </w:rPr>
        <w:t>3.</w:t>
      </w:r>
    </w:p>
    <w:p w14:paraId="3810CB28" w14:textId="58547471" w:rsidR="00357723" w:rsidRPr="006541B9" w:rsidRDefault="00357723" w:rsidP="00327E42">
      <w:pPr>
        <w:jc w:val="both"/>
        <w:rPr>
          <w:rFonts w:ascii="Arial" w:hAnsi="Arial" w:cs="Arial"/>
        </w:rPr>
      </w:pPr>
      <w:r w:rsidRPr="006541B9">
        <w:rPr>
          <w:rFonts w:ascii="Arial" w:hAnsi="Arial" w:cs="Arial"/>
        </w:rPr>
        <w:t xml:space="preserve">Initial entry into the risk share is </w:t>
      </w:r>
      <w:r w:rsidR="00EB3D53" w:rsidRPr="006541B9">
        <w:rPr>
          <w:rFonts w:ascii="Arial" w:hAnsi="Arial" w:cs="Arial"/>
        </w:rPr>
        <w:t>for all</w:t>
      </w:r>
      <w:r w:rsidRPr="006541B9">
        <w:rPr>
          <w:rFonts w:ascii="Arial" w:hAnsi="Arial" w:cs="Arial"/>
        </w:rPr>
        <w:t xml:space="preserve"> ICB</w:t>
      </w:r>
      <w:r w:rsidR="00EB3D53" w:rsidRPr="006541B9">
        <w:rPr>
          <w:rFonts w:ascii="Arial" w:hAnsi="Arial" w:cs="Arial"/>
        </w:rPr>
        <w:t xml:space="preserve">s in the region </w:t>
      </w:r>
      <w:r w:rsidRPr="006541B9">
        <w:rPr>
          <w:rFonts w:ascii="Arial" w:hAnsi="Arial" w:cs="Arial"/>
        </w:rPr>
        <w:t>but to protect</w:t>
      </w:r>
      <w:r w:rsidR="000F3468" w:rsidRPr="006541B9">
        <w:rPr>
          <w:rFonts w:ascii="Arial" w:hAnsi="Arial" w:cs="Arial"/>
        </w:rPr>
        <w:t xml:space="preserve"> the risk share ICBs can only leave at the point of review</w:t>
      </w:r>
      <w:r w:rsidR="00853F42" w:rsidRPr="006541B9">
        <w:rPr>
          <w:rFonts w:ascii="Arial" w:hAnsi="Arial" w:cs="Arial"/>
        </w:rPr>
        <w:t xml:space="preserve"> (refer to section 8)</w:t>
      </w:r>
      <w:r w:rsidR="000F3468" w:rsidRPr="006541B9">
        <w:rPr>
          <w:rFonts w:ascii="Arial" w:hAnsi="Arial" w:cs="Arial"/>
        </w:rPr>
        <w:t>.</w:t>
      </w:r>
    </w:p>
    <w:p w14:paraId="217DB580" w14:textId="02D452D5" w:rsidR="00DB25DF" w:rsidRPr="006541B9" w:rsidRDefault="00EB3D53" w:rsidP="00327E42">
      <w:pPr>
        <w:jc w:val="both"/>
        <w:rPr>
          <w:rFonts w:ascii="Arial" w:hAnsi="Arial" w:cs="Arial"/>
        </w:rPr>
      </w:pPr>
      <w:r w:rsidRPr="006541B9">
        <w:rPr>
          <w:rFonts w:ascii="Arial" w:hAnsi="Arial" w:cs="Arial"/>
        </w:rPr>
        <w:t xml:space="preserve">This agreement relates to the Pharmacy, Optometry and Dental budgets </w:t>
      </w:r>
      <w:r w:rsidR="00A9177F" w:rsidRPr="006541B9">
        <w:rPr>
          <w:rFonts w:ascii="Arial" w:hAnsi="Arial" w:cs="Arial"/>
        </w:rPr>
        <w:t>delegated at April 2023.</w:t>
      </w:r>
    </w:p>
    <w:p w14:paraId="6978E772" w14:textId="070EC7A1" w:rsidR="00EB5BAA" w:rsidRPr="006541B9" w:rsidRDefault="00EB5BAA" w:rsidP="00327E42">
      <w:pPr>
        <w:jc w:val="both"/>
        <w:rPr>
          <w:rFonts w:ascii="Arial" w:hAnsi="Arial" w:cs="Arial"/>
        </w:rPr>
      </w:pPr>
      <w:r w:rsidRPr="006541B9">
        <w:rPr>
          <w:rFonts w:ascii="Arial" w:hAnsi="Arial" w:cs="Arial"/>
        </w:rPr>
        <w:t>The document has been written with a ‘commissioner lens’.  As a result</w:t>
      </w:r>
      <w:r w:rsidR="007B75F3" w:rsidRPr="006541B9">
        <w:rPr>
          <w:rFonts w:ascii="Arial" w:hAnsi="Arial" w:cs="Arial"/>
        </w:rPr>
        <w:t xml:space="preserve"> this</w:t>
      </w:r>
      <w:r w:rsidRPr="006541B9">
        <w:rPr>
          <w:rFonts w:ascii="Arial" w:hAnsi="Arial" w:cs="Arial"/>
        </w:rPr>
        <w:t xml:space="preserve"> excludes </w:t>
      </w:r>
      <w:r w:rsidR="006063CA" w:rsidRPr="006541B9">
        <w:rPr>
          <w:rFonts w:ascii="Arial" w:hAnsi="Arial" w:cs="Arial"/>
        </w:rPr>
        <w:t>the financial impact of under/</w:t>
      </w:r>
      <w:r w:rsidRPr="006541B9">
        <w:rPr>
          <w:rFonts w:ascii="Arial" w:hAnsi="Arial" w:cs="Arial"/>
        </w:rPr>
        <w:t xml:space="preserve">overperformance within providers </w:t>
      </w:r>
      <w:r w:rsidR="006063CA" w:rsidRPr="006541B9">
        <w:rPr>
          <w:rFonts w:ascii="Arial" w:hAnsi="Arial" w:cs="Arial"/>
        </w:rPr>
        <w:t xml:space="preserve">accounts </w:t>
      </w:r>
      <w:r w:rsidRPr="006541B9">
        <w:rPr>
          <w:rFonts w:ascii="Arial" w:hAnsi="Arial" w:cs="Arial"/>
        </w:rPr>
        <w:t>as part of the risk share.</w:t>
      </w:r>
    </w:p>
    <w:p w14:paraId="34651015" w14:textId="56D0FBB5" w:rsidR="0004034B" w:rsidRPr="0004034B" w:rsidRDefault="0004034B" w:rsidP="00327E42">
      <w:pPr>
        <w:jc w:val="both"/>
        <w:rPr>
          <w:rFonts w:ascii="Arial" w:hAnsi="Arial" w:cs="Arial"/>
        </w:rPr>
      </w:pPr>
      <w:r w:rsidRPr="006541B9">
        <w:rPr>
          <w:rFonts w:ascii="Arial" w:hAnsi="Arial" w:cs="Arial"/>
        </w:rPr>
        <w:t>This risk share excludes previously delegated primary care budgets, on only those that transfer under the current delegation process.</w:t>
      </w:r>
    </w:p>
    <w:p w14:paraId="5830EB61" w14:textId="5C8D0970" w:rsidR="00C076BF" w:rsidRPr="0004034B" w:rsidRDefault="008E04D4" w:rsidP="00327E42">
      <w:pPr>
        <w:jc w:val="both"/>
        <w:rPr>
          <w:rFonts w:ascii="Arial" w:hAnsi="Arial" w:cs="Arial"/>
        </w:rPr>
      </w:pPr>
      <w:r w:rsidRPr="0004034B">
        <w:rPr>
          <w:rFonts w:ascii="Arial" w:hAnsi="Arial" w:cs="Arial"/>
        </w:rPr>
        <w:lastRenderedPageBreak/>
        <w:t xml:space="preserve">This document may touch on expected financial reporting routes </w:t>
      </w:r>
      <w:r w:rsidR="0096713C" w:rsidRPr="0004034B">
        <w:rPr>
          <w:rFonts w:ascii="Arial" w:hAnsi="Arial" w:cs="Arial"/>
        </w:rPr>
        <w:t>as part of the risk management, but reporting is subject to the development of a reporting framework.  The two documents must be written</w:t>
      </w:r>
      <w:r w:rsidR="00861CF8" w:rsidRPr="0004034B">
        <w:rPr>
          <w:rFonts w:ascii="Arial" w:hAnsi="Arial" w:cs="Arial"/>
        </w:rPr>
        <w:t xml:space="preserve"> and read</w:t>
      </w:r>
      <w:r w:rsidR="0096713C" w:rsidRPr="0004034B">
        <w:rPr>
          <w:rFonts w:ascii="Arial" w:hAnsi="Arial" w:cs="Arial"/>
        </w:rPr>
        <w:t xml:space="preserve"> in consideration of each other.</w:t>
      </w:r>
    </w:p>
    <w:p w14:paraId="67C2DB7A" w14:textId="46C56C55" w:rsidR="00284218" w:rsidRPr="000F3468" w:rsidRDefault="00284218" w:rsidP="00327E42">
      <w:pPr>
        <w:pStyle w:val="ListParagraph"/>
        <w:numPr>
          <w:ilvl w:val="0"/>
          <w:numId w:val="11"/>
        </w:numPr>
        <w:jc w:val="both"/>
        <w:rPr>
          <w:rFonts w:ascii="Arial" w:hAnsi="Arial" w:cs="Arial"/>
          <w:b/>
          <w:sz w:val="24"/>
          <w:szCs w:val="24"/>
        </w:rPr>
      </w:pPr>
      <w:r w:rsidRPr="000F3468">
        <w:rPr>
          <w:rFonts w:ascii="Arial" w:hAnsi="Arial" w:cs="Arial"/>
          <w:b/>
          <w:sz w:val="24"/>
          <w:szCs w:val="24"/>
        </w:rPr>
        <w:t xml:space="preserve">Why do we need a financial </w:t>
      </w:r>
      <w:r w:rsidR="0096713C" w:rsidRPr="000F3468">
        <w:rPr>
          <w:rFonts w:ascii="Arial" w:hAnsi="Arial" w:cs="Arial"/>
          <w:b/>
          <w:sz w:val="24"/>
          <w:szCs w:val="24"/>
        </w:rPr>
        <w:t xml:space="preserve">risk </w:t>
      </w:r>
      <w:r w:rsidRPr="000F3468">
        <w:rPr>
          <w:rFonts w:ascii="Arial" w:hAnsi="Arial" w:cs="Arial"/>
          <w:b/>
          <w:sz w:val="24"/>
          <w:szCs w:val="24"/>
        </w:rPr>
        <w:t>framework?</w:t>
      </w:r>
    </w:p>
    <w:p w14:paraId="4F31EB83" w14:textId="5D0D2688" w:rsidR="00055D84" w:rsidRDefault="00BD7CAC" w:rsidP="00327E42">
      <w:pPr>
        <w:numPr>
          <w:ilvl w:val="0"/>
          <w:numId w:val="1"/>
        </w:numPr>
        <w:jc w:val="both"/>
        <w:rPr>
          <w:rFonts w:ascii="Arial" w:hAnsi="Arial" w:cs="Arial"/>
        </w:rPr>
      </w:pPr>
      <w:r w:rsidRPr="000F3468">
        <w:rPr>
          <w:rFonts w:ascii="Arial" w:hAnsi="Arial" w:cs="Arial"/>
        </w:rPr>
        <w:t xml:space="preserve">ICBs are new organisations, and </w:t>
      </w:r>
      <w:r w:rsidR="00A9177F" w:rsidRPr="000F3468">
        <w:rPr>
          <w:rFonts w:ascii="Arial" w:hAnsi="Arial" w:cs="Arial"/>
        </w:rPr>
        <w:t>not all ICBs</w:t>
      </w:r>
      <w:r w:rsidRPr="000F3468">
        <w:rPr>
          <w:rFonts w:ascii="Arial" w:hAnsi="Arial" w:cs="Arial"/>
        </w:rPr>
        <w:t xml:space="preserve"> have experience managing </w:t>
      </w:r>
      <w:r w:rsidR="00A9177F" w:rsidRPr="000F3468">
        <w:rPr>
          <w:rFonts w:ascii="Arial" w:hAnsi="Arial" w:cs="Arial"/>
        </w:rPr>
        <w:t xml:space="preserve">these </w:t>
      </w:r>
      <w:r w:rsidR="000F3468" w:rsidRPr="000F3468">
        <w:rPr>
          <w:rFonts w:ascii="Arial" w:hAnsi="Arial" w:cs="Arial"/>
        </w:rPr>
        <w:t>specific</w:t>
      </w:r>
      <w:r w:rsidRPr="000F3468">
        <w:rPr>
          <w:rFonts w:ascii="Arial" w:hAnsi="Arial" w:cs="Arial"/>
        </w:rPr>
        <w:t xml:space="preserve"> commissioning budgets.  Until that knowledge is built up, this may mean additional caution in applying budgets in year, or additional exposure to risk.  A risk share allows a mitigation to this while there is a common route to delivery.</w:t>
      </w:r>
    </w:p>
    <w:p w14:paraId="68A86E41" w14:textId="77777777" w:rsidR="00A03A26" w:rsidRPr="006541B9" w:rsidRDefault="00A03A26" w:rsidP="00327E42">
      <w:pPr>
        <w:numPr>
          <w:ilvl w:val="0"/>
          <w:numId w:val="1"/>
        </w:numPr>
        <w:jc w:val="both"/>
        <w:rPr>
          <w:rFonts w:ascii="Arial" w:hAnsi="Arial" w:cs="Arial"/>
        </w:rPr>
      </w:pPr>
      <w:r w:rsidRPr="006541B9">
        <w:rPr>
          <w:rFonts w:ascii="Arial" w:hAnsi="Arial" w:cs="Arial"/>
        </w:rPr>
        <w:t xml:space="preserve">POD budgets are currently managed across the Midlands which provides a large budget in which to manage variability in activity across contracts and movements in patient charge revenue. After delegation budgets and areas covered will be smaller meaning risk management agreements will be needed to manage variability between ICBs. </w:t>
      </w:r>
    </w:p>
    <w:p w14:paraId="5C8C0E57" w14:textId="5239B82C" w:rsidR="006063CA" w:rsidRPr="006541B9" w:rsidRDefault="00A03A26" w:rsidP="00327E42">
      <w:pPr>
        <w:numPr>
          <w:ilvl w:val="0"/>
          <w:numId w:val="1"/>
        </w:numPr>
        <w:jc w:val="both"/>
        <w:rPr>
          <w:rFonts w:ascii="Arial" w:hAnsi="Arial" w:cs="Arial"/>
        </w:rPr>
      </w:pPr>
      <w:r w:rsidRPr="006541B9">
        <w:rPr>
          <w:rFonts w:ascii="Arial" w:hAnsi="Arial" w:cs="Arial"/>
        </w:rPr>
        <w:t>Allocations have been established using 2019/20 activity and spend levels. However, two years of alternative financial processes may impact on the accuracy of allocations at an ICS level. In addition, there are changes to the Dental contract expected in the second half of 2022/23 all of which creates additional uncertainty on ICB allocations</w:t>
      </w:r>
    </w:p>
    <w:p w14:paraId="22F1EAC6" w14:textId="7D8D0F97" w:rsidR="00BD7CAC" w:rsidRPr="006541B9" w:rsidRDefault="00BD7CAC" w:rsidP="00327E42">
      <w:pPr>
        <w:numPr>
          <w:ilvl w:val="0"/>
          <w:numId w:val="1"/>
        </w:numPr>
        <w:jc w:val="both"/>
        <w:rPr>
          <w:rFonts w:ascii="Arial" w:hAnsi="Arial" w:cs="Arial"/>
        </w:rPr>
      </w:pPr>
      <w:r w:rsidRPr="006541B9">
        <w:rPr>
          <w:rFonts w:ascii="Arial" w:hAnsi="Arial" w:cs="Arial"/>
        </w:rPr>
        <w:t xml:space="preserve">As part of the move to delegated budgets, allocations </w:t>
      </w:r>
      <w:r w:rsidR="00A9177F" w:rsidRPr="006541B9">
        <w:rPr>
          <w:rFonts w:ascii="Arial" w:hAnsi="Arial" w:cs="Arial"/>
        </w:rPr>
        <w:t>may change as they are transferred</w:t>
      </w:r>
      <w:r w:rsidRPr="006541B9">
        <w:rPr>
          <w:rFonts w:ascii="Arial" w:hAnsi="Arial" w:cs="Arial"/>
        </w:rPr>
        <w:t xml:space="preserve"> to ICB level.  </w:t>
      </w:r>
      <w:r w:rsidRPr="00095D59">
        <w:rPr>
          <w:rFonts w:ascii="Arial" w:hAnsi="Arial" w:cs="Arial"/>
        </w:rPr>
        <w:t>There is a</w:t>
      </w:r>
      <w:r w:rsidR="00853F42" w:rsidRPr="00095D59">
        <w:rPr>
          <w:rFonts w:ascii="Arial" w:hAnsi="Arial" w:cs="Arial"/>
        </w:rPr>
        <w:t xml:space="preserve">n expectation of </w:t>
      </w:r>
      <w:r w:rsidRPr="00095D59">
        <w:rPr>
          <w:rFonts w:ascii="Arial" w:hAnsi="Arial" w:cs="Arial"/>
        </w:rPr>
        <w:t>a move to a more capitated share of budgets</w:t>
      </w:r>
      <w:r w:rsidR="00853F42" w:rsidRPr="00095D59">
        <w:rPr>
          <w:rFonts w:ascii="Arial" w:hAnsi="Arial" w:cs="Arial"/>
        </w:rPr>
        <w:t xml:space="preserve"> after 2024</w:t>
      </w:r>
      <w:r w:rsidRPr="00095D59">
        <w:rPr>
          <w:rFonts w:ascii="Arial" w:hAnsi="Arial" w:cs="Arial"/>
        </w:rPr>
        <w:t>.  This raises the risk of variation to in year budgets which may not be fully known when b</w:t>
      </w:r>
      <w:r w:rsidRPr="006541B9">
        <w:rPr>
          <w:rFonts w:ascii="Arial" w:hAnsi="Arial" w:cs="Arial"/>
        </w:rPr>
        <w:t>udgets are fi</w:t>
      </w:r>
      <w:r w:rsidR="00853F42" w:rsidRPr="006541B9">
        <w:rPr>
          <w:rFonts w:ascii="Arial" w:hAnsi="Arial" w:cs="Arial"/>
        </w:rPr>
        <w:t>r</w:t>
      </w:r>
      <w:r w:rsidRPr="006541B9">
        <w:rPr>
          <w:rFonts w:ascii="Arial" w:hAnsi="Arial" w:cs="Arial"/>
        </w:rPr>
        <w:t xml:space="preserve">st delegated, therefore </w:t>
      </w:r>
      <w:r w:rsidR="00853F42" w:rsidRPr="006541B9">
        <w:rPr>
          <w:rFonts w:ascii="Arial" w:hAnsi="Arial" w:cs="Arial"/>
        </w:rPr>
        <w:t xml:space="preserve">future </w:t>
      </w:r>
      <w:r w:rsidRPr="006541B9">
        <w:rPr>
          <w:rFonts w:ascii="Arial" w:hAnsi="Arial" w:cs="Arial"/>
        </w:rPr>
        <w:t xml:space="preserve">risk sharing </w:t>
      </w:r>
      <w:r w:rsidR="00853F42" w:rsidRPr="006541B9">
        <w:rPr>
          <w:rFonts w:ascii="Arial" w:hAnsi="Arial" w:cs="Arial"/>
        </w:rPr>
        <w:t xml:space="preserve">needs to </w:t>
      </w:r>
      <w:r w:rsidRPr="006541B9">
        <w:rPr>
          <w:rFonts w:ascii="Arial" w:hAnsi="Arial" w:cs="Arial"/>
        </w:rPr>
        <w:t>mitigate this risk.</w:t>
      </w:r>
    </w:p>
    <w:p w14:paraId="25E7FF1E" w14:textId="77777777" w:rsidR="00BF2AA4" w:rsidRPr="0004034B" w:rsidRDefault="001F54E1" w:rsidP="00327E42">
      <w:pPr>
        <w:numPr>
          <w:ilvl w:val="0"/>
          <w:numId w:val="1"/>
        </w:numPr>
        <w:jc w:val="both"/>
        <w:rPr>
          <w:rFonts w:ascii="Arial" w:hAnsi="Arial" w:cs="Arial"/>
        </w:rPr>
      </w:pPr>
      <w:r w:rsidRPr="0004034B">
        <w:rPr>
          <w:rFonts w:ascii="Arial" w:hAnsi="Arial" w:cs="Arial"/>
        </w:rPr>
        <w:t>A number of ‘wicked’ problems as examples have been listed below to prompt the draft framework proposed in this slide</w:t>
      </w:r>
      <w:r w:rsidR="00A2580F" w:rsidRPr="0004034B">
        <w:rPr>
          <w:rFonts w:ascii="Arial" w:hAnsi="Arial" w:cs="Arial"/>
        </w:rPr>
        <w:t>/</w:t>
      </w:r>
      <w:r w:rsidRPr="0004034B">
        <w:rPr>
          <w:rFonts w:ascii="Arial" w:hAnsi="Arial" w:cs="Arial"/>
        </w:rPr>
        <w:t>document.</w:t>
      </w:r>
    </w:p>
    <w:p w14:paraId="5032EACE" w14:textId="77777777" w:rsidR="00BF2AA4" w:rsidRPr="000F3468" w:rsidRDefault="001F54E1" w:rsidP="00327E42">
      <w:pPr>
        <w:numPr>
          <w:ilvl w:val="1"/>
          <w:numId w:val="1"/>
        </w:numPr>
        <w:jc w:val="both"/>
        <w:rPr>
          <w:rFonts w:ascii="Arial" w:hAnsi="Arial" w:cs="Arial"/>
        </w:rPr>
      </w:pPr>
      <w:r w:rsidRPr="000F3468">
        <w:rPr>
          <w:rFonts w:ascii="Arial" w:hAnsi="Arial" w:cs="Arial"/>
        </w:rPr>
        <w:t>How does the system minimise variation to plan?</w:t>
      </w:r>
    </w:p>
    <w:p w14:paraId="12A849D4" w14:textId="4F5FAD73" w:rsidR="00F525F0" w:rsidRPr="000F3468" w:rsidRDefault="001F54E1" w:rsidP="00F525F0">
      <w:pPr>
        <w:numPr>
          <w:ilvl w:val="1"/>
          <w:numId w:val="1"/>
        </w:numPr>
        <w:jc w:val="both"/>
        <w:rPr>
          <w:rFonts w:ascii="Arial" w:hAnsi="Arial" w:cs="Arial"/>
        </w:rPr>
      </w:pPr>
      <w:r w:rsidRPr="000F3468">
        <w:rPr>
          <w:rFonts w:ascii="Arial" w:hAnsi="Arial" w:cs="Arial"/>
        </w:rPr>
        <w:t>A</w:t>
      </w:r>
      <w:r w:rsidR="00BD7CAC" w:rsidRPr="000F3468">
        <w:rPr>
          <w:rFonts w:ascii="Arial" w:hAnsi="Arial" w:cs="Arial"/>
        </w:rPr>
        <w:t xml:space="preserve">n ICB may wish </w:t>
      </w:r>
      <w:r w:rsidR="00BD7CAC" w:rsidRPr="00095D59">
        <w:rPr>
          <w:rFonts w:ascii="Arial" w:hAnsi="Arial" w:cs="Arial"/>
        </w:rPr>
        <w:t xml:space="preserve">to make a change </w:t>
      </w:r>
      <w:r w:rsidR="00F525F0" w:rsidRPr="00095D59">
        <w:rPr>
          <w:rFonts w:ascii="Arial" w:hAnsi="Arial" w:cs="Arial"/>
        </w:rPr>
        <w:t>to service that i</w:t>
      </w:r>
      <w:r w:rsidR="006541B9" w:rsidRPr="00095D59">
        <w:rPr>
          <w:rFonts w:ascii="Arial" w:hAnsi="Arial" w:cs="Arial"/>
        </w:rPr>
        <w:t>s</w:t>
      </w:r>
      <w:r w:rsidR="00F525F0" w:rsidRPr="00095D59">
        <w:rPr>
          <w:rFonts w:ascii="Arial" w:hAnsi="Arial" w:cs="Arial"/>
        </w:rPr>
        <w:t xml:space="preserve"> within the risk share</w:t>
      </w:r>
      <w:r w:rsidR="006541B9" w:rsidRPr="00095D59">
        <w:rPr>
          <w:rFonts w:ascii="Arial" w:hAnsi="Arial" w:cs="Arial"/>
        </w:rPr>
        <w:t>, this could include additional investment, change in policy, or pathway.</w:t>
      </w:r>
      <w:r w:rsidR="00F525F0" w:rsidRPr="00095D59">
        <w:rPr>
          <w:rFonts w:ascii="Arial" w:hAnsi="Arial" w:cs="Arial"/>
        </w:rPr>
        <w:t xml:space="preserve"> </w:t>
      </w:r>
      <w:r w:rsidR="006541B9" w:rsidRPr="00095D59">
        <w:rPr>
          <w:rFonts w:ascii="Arial" w:hAnsi="Arial" w:cs="Arial"/>
        </w:rPr>
        <w:t>H</w:t>
      </w:r>
      <w:r w:rsidR="00F525F0" w:rsidRPr="00095D59">
        <w:rPr>
          <w:rFonts w:ascii="Arial" w:hAnsi="Arial" w:cs="Arial"/>
        </w:rPr>
        <w:t>ow will this be managed withi</w:t>
      </w:r>
      <w:r w:rsidR="00F525F0" w:rsidRPr="000F3468">
        <w:rPr>
          <w:rFonts w:ascii="Arial" w:hAnsi="Arial" w:cs="Arial"/>
        </w:rPr>
        <w:t xml:space="preserve">n the risk share? </w:t>
      </w:r>
    </w:p>
    <w:p w14:paraId="3B8C5867" w14:textId="76476CE0" w:rsidR="00F525F0" w:rsidRPr="000F3468" w:rsidRDefault="00F525F0" w:rsidP="00327E42">
      <w:pPr>
        <w:numPr>
          <w:ilvl w:val="1"/>
          <w:numId w:val="1"/>
        </w:numPr>
        <w:jc w:val="both"/>
        <w:rPr>
          <w:rFonts w:ascii="Arial" w:hAnsi="Arial" w:cs="Arial"/>
        </w:rPr>
      </w:pPr>
      <w:r w:rsidRPr="000F3468">
        <w:rPr>
          <w:rFonts w:ascii="Arial" w:hAnsi="Arial" w:cs="Arial"/>
        </w:rPr>
        <w:t>An ICB may wish to withdraw a service from the risk share, how will this be managed?</w:t>
      </w:r>
    </w:p>
    <w:p w14:paraId="2B400078" w14:textId="699811AA" w:rsidR="00A2580F" w:rsidRPr="00095D59" w:rsidRDefault="00F525F0" w:rsidP="00327E42">
      <w:pPr>
        <w:numPr>
          <w:ilvl w:val="1"/>
          <w:numId w:val="1"/>
        </w:numPr>
        <w:jc w:val="both"/>
        <w:rPr>
          <w:rFonts w:ascii="Arial" w:hAnsi="Arial" w:cs="Arial"/>
        </w:rPr>
      </w:pPr>
      <w:r w:rsidRPr="000F3468">
        <w:rPr>
          <w:rFonts w:ascii="Arial" w:hAnsi="Arial" w:cs="Arial"/>
        </w:rPr>
        <w:t xml:space="preserve">An ICB </w:t>
      </w:r>
      <w:r w:rsidR="00A2580F" w:rsidRPr="000F3468">
        <w:rPr>
          <w:rFonts w:ascii="Arial" w:hAnsi="Arial" w:cs="Arial"/>
        </w:rPr>
        <w:t xml:space="preserve">may work </w:t>
      </w:r>
      <w:r w:rsidR="00DB25DF" w:rsidRPr="00095D59">
        <w:rPr>
          <w:rFonts w:ascii="Arial" w:hAnsi="Arial" w:cs="Arial"/>
        </w:rPr>
        <w:t>unilaterally</w:t>
      </w:r>
      <w:r w:rsidR="00A2580F" w:rsidRPr="00095D59">
        <w:rPr>
          <w:rFonts w:ascii="Arial" w:hAnsi="Arial" w:cs="Arial"/>
        </w:rPr>
        <w:t xml:space="preserve"> on service c</w:t>
      </w:r>
      <w:r w:rsidR="00853F42" w:rsidRPr="00095D59">
        <w:rPr>
          <w:rFonts w:ascii="Arial" w:hAnsi="Arial" w:cs="Arial"/>
        </w:rPr>
        <w:t>hanges</w:t>
      </w:r>
      <w:r w:rsidR="00A2580F" w:rsidRPr="00095D59">
        <w:rPr>
          <w:rFonts w:ascii="Arial" w:hAnsi="Arial" w:cs="Arial"/>
        </w:rPr>
        <w:t xml:space="preserve"> or savings which then </w:t>
      </w:r>
      <w:r w:rsidR="006541B9" w:rsidRPr="00095D59">
        <w:rPr>
          <w:rFonts w:ascii="Arial" w:hAnsi="Arial" w:cs="Arial"/>
        </w:rPr>
        <w:t xml:space="preserve">impacts on </w:t>
      </w:r>
      <w:r w:rsidRPr="00095D59">
        <w:rPr>
          <w:rFonts w:ascii="Arial" w:hAnsi="Arial" w:cs="Arial"/>
        </w:rPr>
        <w:t>the overall risk share</w:t>
      </w:r>
      <w:r w:rsidR="00A2580F" w:rsidRPr="00095D59">
        <w:rPr>
          <w:rFonts w:ascii="Arial" w:hAnsi="Arial" w:cs="Arial"/>
        </w:rPr>
        <w:t xml:space="preserve">. </w:t>
      </w:r>
      <w:r w:rsidR="006541B9" w:rsidRPr="00095D59">
        <w:rPr>
          <w:rFonts w:ascii="Arial" w:hAnsi="Arial" w:cs="Arial"/>
        </w:rPr>
        <w:t xml:space="preserve">  How is this managed?</w:t>
      </w:r>
    </w:p>
    <w:p w14:paraId="515EBD9B" w14:textId="6C63E83D" w:rsidR="00BF2AA4" w:rsidRPr="000F3468" w:rsidRDefault="00F525F0" w:rsidP="00327E42">
      <w:pPr>
        <w:numPr>
          <w:ilvl w:val="1"/>
          <w:numId w:val="1"/>
        </w:numPr>
        <w:jc w:val="both"/>
        <w:rPr>
          <w:rFonts w:ascii="Arial" w:hAnsi="Arial" w:cs="Arial"/>
        </w:rPr>
      </w:pPr>
      <w:r w:rsidRPr="00095D59">
        <w:rPr>
          <w:rFonts w:ascii="Arial" w:hAnsi="Arial" w:cs="Arial"/>
        </w:rPr>
        <w:t>Should risk sharin</w:t>
      </w:r>
      <w:r w:rsidRPr="000F3468">
        <w:rPr>
          <w:rFonts w:ascii="Arial" w:hAnsi="Arial" w:cs="Arial"/>
        </w:rPr>
        <w:t>g be the answer to an overspend?</w:t>
      </w:r>
    </w:p>
    <w:p w14:paraId="284FF485" w14:textId="00278E7C" w:rsidR="00C076BF" w:rsidRPr="000F3468" w:rsidRDefault="00F525F0" w:rsidP="00F525F0">
      <w:pPr>
        <w:numPr>
          <w:ilvl w:val="1"/>
          <w:numId w:val="1"/>
        </w:numPr>
        <w:jc w:val="both"/>
        <w:rPr>
          <w:rFonts w:ascii="Arial" w:hAnsi="Arial" w:cs="Arial"/>
        </w:rPr>
      </w:pPr>
      <w:r w:rsidRPr="000F3468">
        <w:rPr>
          <w:rFonts w:ascii="Arial" w:hAnsi="Arial" w:cs="Arial"/>
        </w:rPr>
        <w:t>If ICBs disagree on how a risk should be handled, how is this resolved?</w:t>
      </w:r>
    </w:p>
    <w:p w14:paraId="589F0A10" w14:textId="77777777" w:rsidR="00861CF8" w:rsidRPr="000F3468" w:rsidRDefault="00861CF8" w:rsidP="00861CF8">
      <w:pPr>
        <w:numPr>
          <w:ilvl w:val="1"/>
          <w:numId w:val="1"/>
        </w:numPr>
        <w:jc w:val="both"/>
        <w:rPr>
          <w:rFonts w:ascii="Arial" w:hAnsi="Arial" w:cs="Arial"/>
        </w:rPr>
      </w:pPr>
      <w:bookmarkStart w:id="1" w:name="_Hlk104817349"/>
      <w:r w:rsidRPr="000F3468">
        <w:rPr>
          <w:rFonts w:ascii="Arial" w:hAnsi="Arial" w:cs="Arial"/>
        </w:rPr>
        <w:t>If there are differential impacts against system allocations due to new allocation methodologies, how are these risks managed?</w:t>
      </w:r>
    </w:p>
    <w:bookmarkEnd w:id="1"/>
    <w:p w14:paraId="01988F72" w14:textId="77777777" w:rsidR="00095D59" w:rsidRDefault="00095D59">
      <w:pPr>
        <w:rPr>
          <w:rFonts w:ascii="Arial" w:hAnsi="Arial" w:cs="Arial"/>
          <w:b/>
        </w:rPr>
      </w:pPr>
      <w:r>
        <w:rPr>
          <w:rFonts w:ascii="Arial" w:hAnsi="Arial" w:cs="Arial"/>
          <w:b/>
        </w:rPr>
        <w:br w:type="page"/>
      </w:r>
    </w:p>
    <w:p w14:paraId="1E645EF8" w14:textId="784B7370" w:rsidR="001C33FE" w:rsidRPr="0004034B" w:rsidRDefault="001C33FE" w:rsidP="001C33FE">
      <w:pPr>
        <w:pStyle w:val="ListParagraph"/>
        <w:numPr>
          <w:ilvl w:val="0"/>
          <w:numId w:val="11"/>
        </w:numPr>
        <w:jc w:val="both"/>
        <w:rPr>
          <w:rFonts w:ascii="Arial" w:hAnsi="Arial" w:cs="Arial"/>
          <w:b/>
        </w:rPr>
      </w:pPr>
      <w:r w:rsidRPr="0004034B">
        <w:rPr>
          <w:rFonts w:ascii="Arial" w:hAnsi="Arial" w:cs="Arial"/>
          <w:b/>
        </w:rPr>
        <w:lastRenderedPageBreak/>
        <w:t>Behaviours and Standards</w:t>
      </w:r>
    </w:p>
    <w:p w14:paraId="0B9C22F8" w14:textId="0A092320" w:rsidR="00634585" w:rsidRPr="0004034B" w:rsidRDefault="001C33FE" w:rsidP="001C33FE">
      <w:pPr>
        <w:jc w:val="both"/>
        <w:rPr>
          <w:rFonts w:ascii="Arial" w:hAnsi="Arial" w:cs="Arial"/>
        </w:rPr>
      </w:pPr>
      <w:r w:rsidRPr="0004034B">
        <w:rPr>
          <w:rFonts w:ascii="Arial" w:hAnsi="Arial" w:cs="Arial"/>
        </w:rPr>
        <w:t>This document has been written with an expectation of openness</w:t>
      </w:r>
      <w:r w:rsidR="00634585" w:rsidRPr="0004034B">
        <w:rPr>
          <w:rFonts w:ascii="Arial" w:hAnsi="Arial" w:cs="Arial"/>
        </w:rPr>
        <w:t>,</w:t>
      </w:r>
      <w:r w:rsidRPr="0004034B">
        <w:rPr>
          <w:rFonts w:ascii="Arial" w:hAnsi="Arial" w:cs="Arial"/>
        </w:rPr>
        <w:t xml:space="preserve"> transparency</w:t>
      </w:r>
      <w:r w:rsidR="00634585" w:rsidRPr="0004034B">
        <w:rPr>
          <w:rFonts w:ascii="Arial" w:hAnsi="Arial" w:cs="Arial"/>
        </w:rPr>
        <w:t>, and trust</w:t>
      </w:r>
      <w:r w:rsidRPr="0004034B">
        <w:rPr>
          <w:rFonts w:ascii="Arial" w:hAnsi="Arial" w:cs="Arial"/>
        </w:rPr>
        <w:t xml:space="preserve"> in mind between </w:t>
      </w:r>
      <w:r w:rsidR="00F525F0" w:rsidRPr="0004034B">
        <w:rPr>
          <w:rFonts w:ascii="Arial" w:hAnsi="Arial" w:cs="Arial"/>
        </w:rPr>
        <w:t>ICBs</w:t>
      </w:r>
      <w:r w:rsidRPr="0004034B">
        <w:rPr>
          <w:rFonts w:ascii="Arial" w:hAnsi="Arial" w:cs="Arial"/>
        </w:rPr>
        <w:t xml:space="preserve">.  </w:t>
      </w:r>
      <w:r w:rsidR="00634585" w:rsidRPr="0004034B">
        <w:rPr>
          <w:rFonts w:ascii="Arial" w:hAnsi="Arial" w:cs="Arial"/>
        </w:rPr>
        <w:t xml:space="preserve">These </w:t>
      </w:r>
      <w:r w:rsidR="00F525F0" w:rsidRPr="0004034B">
        <w:rPr>
          <w:rFonts w:ascii="Arial" w:hAnsi="Arial" w:cs="Arial"/>
        </w:rPr>
        <w:t xml:space="preserve">risk </w:t>
      </w:r>
      <w:r w:rsidR="00634585" w:rsidRPr="0004034B">
        <w:rPr>
          <w:rFonts w:ascii="Arial" w:hAnsi="Arial" w:cs="Arial"/>
        </w:rPr>
        <w:t xml:space="preserve">principles should be considered in the application of the document.  </w:t>
      </w:r>
      <w:r w:rsidRPr="0004034B">
        <w:rPr>
          <w:rFonts w:ascii="Arial" w:hAnsi="Arial" w:cs="Arial"/>
        </w:rPr>
        <w:t xml:space="preserve">This </w:t>
      </w:r>
      <w:r w:rsidR="00634585" w:rsidRPr="0004034B">
        <w:rPr>
          <w:rFonts w:ascii="Arial" w:hAnsi="Arial" w:cs="Arial"/>
        </w:rPr>
        <w:t xml:space="preserve">also </w:t>
      </w:r>
      <w:r w:rsidRPr="0004034B">
        <w:rPr>
          <w:rFonts w:ascii="Arial" w:hAnsi="Arial" w:cs="Arial"/>
        </w:rPr>
        <w:t xml:space="preserve">means that </w:t>
      </w:r>
      <w:r w:rsidR="00F525F0" w:rsidRPr="0004034B">
        <w:rPr>
          <w:rFonts w:ascii="Arial" w:hAnsi="Arial" w:cs="Arial"/>
        </w:rPr>
        <w:t>while we use this</w:t>
      </w:r>
      <w:r w:rsidRPr="0004034B">
        <w:rPr>
          <w:rFonts w:ascii="Arial" w:hAnsi="Arial" w:cs="Arial"/>
        </w:rPr>
        <w:t xml:space="preserve"> document there will be elements of clarity and refinement required.  </w:t>
      </w:r>
      <w:r w:rsidR="00634585" w:rsidRPr="0004034B">
        <w:rPr>
          <w:rFonts w:ascii="Arial" w:hAnsi="Arial" w:cs="Arial"/>
        </w:rPr>
        <w:t>It’s</w:t>
      </w:r>
      <w:r w:rsidRPr="0004034B">
        <w:rPr>
          <w:rFonts w:ascii="Arial" w:hAnsi="Arial" w:cs="Arial"/>
        </w:rPr>
        <w:t xml:space="preserve"> expected that in these cases partners use judge</w:t>
      </w:r>
      <w:r w:rsidR="00634585" w:rsidRPr="0004034B">
        <w:rPr>
          <w:rFonts w:ascii="Arial" w:hAnsi="Arial" w:cs="Arial"/>
        </w:rPr>
        <w:t xml:space="preserve">ment for the spirit of document in its application; </w:t>
      </w:r>
      <w:r w:rsidR="006821EE" w:rsidRPr="0004034B">
        <w:rPr>
          <w:rFonts w:ascii="Arial" w:hAnsi="Arial" w:cs="Arial"/>
        </w:rPr>
        <w:t>however,</w:t>
      </w:r>
      <w:r w:rsidR="00634585" w:rsidRPr="0004034B">
        <w:rPr>
          <w:rFonts w:ascii="Arial" w:hAnsi="Arial" w:cs="Arial"/>
        </w:rPr>
        <w:t xml:space="preserve"> this should</w:t>
      </w:r>
      <w:r w:rsidR="00F525F0" w:rsidRPr="0004034B">
        <w:rPr>
          <w:rFonts w:ascii="Arial" w:hAnsi="Arial" w:cs="Arial"/>
        </w:rPr>
        <w:t xml:space="preserve"> </w:t>
      </w:r>
      <w:r w:rsidR="00F525F0" w:rsidRPr="0004034B">
        <w:rPr>
          <w:rFonts w:ascii="Arial" w:hAnsi="Arial" w:cs="Arial"/>
          <w:b/>
          <w:bCs/>
        </w:rPr>
        <w:t>not</w:t>
      </w:r>
      <w:r w:rsidR="00634585" w:rsidRPr="0004034B">
        <w:rPr>
          <w:rFonts w:ascii="Arial" w:hAnsi="Arial" w:cs="Arial"/>
        </w:rPr>
        <w:t xml:space="preserve"> be used to challenge each aspect of the framework.</w:t>
      </w:r>
    </w:p>
    <w:p w14:paraId="7FF63385" w14:textId="23D4E5A1" w:rsidR="00634585" w:rsidRPr="0004034B" w:rsidRDefault="00634585" w:rsidP="001C33FE">
      <w:pPr>
        <w:jc w:val="both"/>
        <w:rPr>
          <w:rFonts w:ascii="Arial" w:hAnsi="Arial" w:cs="Arial"/>
        </w:rPr>
      </w:pPr>
      <w:r w:rsidRPr="0004034B">
        <w:rPr>
          <w:rFonts w:ascii="Arial" w:hAnsi="Arial" w:cs="Arial"/>
        </w:rPr>
        <w:t xml:space="preserve">Any ambiguity that cannot be resolved between partners, through use of the </w:t>
      </w:r>
      <w:r w:rsidR="00F525F0" w:rsidRPr="0004034B">
        <w:rPr>
          <w:rFonts w:ascii="Arial" w:hAnsi="Arial" w:cs="Arial"/>
        </w:rPr>
        <w:t>Finance and Contracting Sub-Group should</w:t>
      </w:r>
      <w:r w:rsidRPr="0004034B">
        <w:rPr>
          <w:rFonts w:ascii="Arial" w:hAnsi="Arial" w:cs="Arial"/>
        </w:rPr>
        <w:t xml:space="preserve"> then follow the escalation process</w:t>
      </w:r>
      <w:r w:rsidR="00EB5BAA" w:rsidRPr="0004034B">
        <w:rPr>
          <w:rFonts w:ascii="Arial" w:hAnsi="Arial" w:cs="Arial"/>
        </w:rPr>
        <w:t xml:space="preserve"> (section 11)</w:t>
      </w:r>
      <w:r w:rsidRPr="0004034B">
        <w:rPr>
          <w:rFonts w:ascii="Arial" w:hAnsi="Arial" w:cs="Arial"/>
        </w:rPr>
        <w:t xml:space="preserve">; </w:t>
      </w:r>
      <w:r w:rsidR="006821EE" w:rsidRPr="0004034B">
        <w:rPr>
          <w:rFonts w:ascii="Arial" w:hAnsi="Arial" w:cs="Arial"/>
        </w:rPr>
        <w:t>however,</w:t>
      </w:r>
      <w:r w:rsidRPr="0004034B">
        <w:rPr>
          <w:rFonts w:ascii="Arial" w:hAnsi="Arial" w:cs="Arial"/>
        </w:rPr>
        <w:t xml:space="preserve"> this should be avoided wherever possible.</w:t>
      </w:r>
    </w:p>
    <w:p w14:paraId="232374B2" w14:textId="283F8E72" w:rsidR="00B83BA6" w:rsidRPr="0004034B" w:rsidRDefault="00797740" w:rsidP="00F525F0">
      <w:pPr>
        <w:pStyle w:val="ListParagraph"/>
        <w:numPr>
          <w:ilvl w:val="0"/>
          <w:numId w:val="11"/>
        </w:numPr>
        <w:jc w:val="both"/>
        <w:rPr>
          <w:rFonts w:ascii="Arial" w:hAnsi="Arial" w:cs="Arial"/>
          <w:b/>
          <w:sz w:val="24"/>
          <w:szCs w:val="24"/>
        </w:rPr>
      </w:pPr>
      <w:r w:rsidRPr="0004034B">
        <w:rPr>
          <w:rFonts w:ascii="Arial" w:hAnsi="Arial" w:cs="Arial"/>
          <w:b/>
          <w:sz w:val="24"/>
          <w:szCs w:val="24"/>
        </w:rPr>
        <w:t>In Year Financial Management</w:t>
      </w:r>
    </w:p>
    <w:p w14:paraId="00111668" w14:textId="35021FA3" w:rsidR="00F525F0" w:rsidRPr="00095D59" w:rsidRDefault="00F525F0" w:rsidP="00F525F0">
      <w:pPr>
        <w:numPr>
          <w:ilvl w:val="0"/>
          <w:numId w:val="3"/>
        </w:numPr>
        <w:jc w:val="both"/>
        <w:rPr>
          <w:rFonts w:ascii="Arial" w:hAnsi="Arial" w:cs="Arial"/>
        </w:rPr>
      </w:pPr>
      <w:r w:rsidRPr="0004034B">
        <w:rPr>
          <w:rFonts w:ascii="Arial" w:hAnsi="Arial" w:cs="Arial"/>
        </w:rPr>
        <w:t xml:space="preserve">Risk sharing should not be the primary source of net cost </w:t>
      </w:r>
      <w:r w:rsidR="006821EE" w:rsidRPr="0004034B">
        <w:rPr>
          <w:rFonts w:ascii="Arial" w:hAnsi="Arial" w:cs="Arial"/>
        </w:rPr>
        <w:t>avoidance and</w:t>
      </w:r>
      <w:r w:rsidRPr="0004034B">
        <w:rPr>
          <w:rFonts w:ascii="Arial" w:hAnsi="Arial" w:cs="Arial"/>
        </w:rPr>
        <w:t xml:space="preserve"> should only be applied once</w:t>
      </w:r>
      <w:r w:rsidRPr="00095D59">
        <w:rPr>
          <w:rFonts w:ascii="Arial" w:hAnsi="Arial" w:cs="Arial"/>
        </w:rPr>
        <w:t xml:space="preserve"> the Finance and Contracting Sub-Group (FC</w:t>
      </w:r>
      <w:r w:rsidR="006541B9" w:rsidRPr="00095D59">
        <w:rPr>
          <w:rFonts w:ascii="Arial" w:hAnsi="Arial" w:cs="Arial"/>
        </w:rPr>
        <w:t>A</w:t>
      </w:r>
      <w:r w:rsidRPr="00095D59">
        <w:rPr>
          <w:rFonts w:ascii="Arial" w:hAnsi="Arial" w:cs="Arial"/>
        </w:rPr>
        <w:t xml:space="preserve">G) has assured itself that appropriate </w:t>
      </w:r>
      <w:r w:rsidRPr="0004034B">
        <w:rPr>
          <w:rFonts w:ascii="Arial" w:hAnsi="Arial" w:cs="Arial"/>
        </w:rPr>
        <w:t>m</w:t>
      </w:r>
      <w:r w:rsidRPr="00095D59">
        <w:rPr>
          <w:rFonts w:ascii="Arial" w:hAnsi="Arial" w:cs="Arial"/>
        </w:rPr>
        <w:t>itigations have been put in place.</w:t>
      </w:r>
    </w:p>
    <w:p w14:paraId="69B9EF7A" w14:textId="118EF964" w:rsidR="00A9177F" w:rsidRPr="00095D59" w:rsidRDefault="00A9177F" w:rsidP="00F525F0">
      <w:pPr>
        <w:numPr>
          <w:ilvl w:val="0"/>
          <w:numId w:val="3"/>
        </w:numPr>
        <w:jc w:val="both"/>
        <w:rPr>
          <w:rFonts w:ascii="Arial" w:hAnsi="Arial" w:cs="Arial"/>
        </w:rPr>
      </w:pPr>
      <w:r w:rsidRPr="00095D59">
        <w:rPr>
          <w:rFonts w:ascii="Arial" w:hAnsi="Arial" w:cs="Arial"/>
        </w:rPr>
        <w:t>Virement should not be enacted between services or ICBs with</w:t>
      </w:r>
      <w:r w:rsidR="006541B9" w:rsidRPr="00095D59">
        <w:rPr>
          <w:rFonts w:ascii="Arial" w:hAnsi="Arial" w:cs="Arial"/>
        </w:rPr>
        <w:t>out</w:t>
      </w:r>
      <w:r w:rsidRPr="00095D59">
        <w:rPr>
          <w:rFonts w:ascii="Arial" w:hAnsi="Arial" w:cs="Arial"/>
        </w:rPr>
        <w:t xml:space="preserve"> express agreement</w:t>
      </w:r>
      <w:r w:rsidR="006541B9" w:rsidRPr="00095D59">
        <w:rPr>
          <w:rFonts w:ascii="Arial" w:hAnsi="Arial" w:cs="Arial"/>
        </w:rPr>
        <w:t xml:space="preserve"> by FCAG</w:t>
      </w:r>
      <w:r w:rsidRPr="00095D59">
        <w:rPr>
          <w:rFonts w:ascii="Arial" w:hAnsi="Arial" w:cs="Arial"/>
        </w:rPr>
        <w:t xml:space="preserve"> on POD budgets, to allow maximum knowledge gained in this first year by ICBs.  Unlike specialised commissioning budgets, POD budgets should be risk shared</w:t>
      </w:r>
      <w:r w:rsidR="00724F89" w:rsidRPr="00095D59">
        <w:rPr>
          <w:rFonts w:ascii="Arial" w:hAnsi="Arial" w:cs="Arial"/>
        </w:rPr>
        <w:t xml:space="preserve"> on the total financial position for POD within </w:t>
      </w:r>
      <w:r w:rsidRPr="00095D59">
        <w:rPr>
          <w:rFonts w:ascii="Arial" w:hAnsi="Arial" w:cs="Arial"/>
        </w:rPr>
        <w:t>ICBs.</w:t>
      </w:r>
    </w:p>
    <w:p w14:paraId="01A84B72" w14:textId="4657BC67" w:rsidR="00E87F8D" w:rsidRPr="00095D59" w:rsidRDefault="00E87F8D" w:rsidP="00F525F0">
      <w:pPr>
        <w:numPr>
          <w:ilvl w:val="0"/>
          <w:numId w:val="3"/>
        </w:numPr>
        <w:jc w:val="both"/>
        <w:rPr>
          <w:rFonts w:ascii="Arial" w:hAnsi="Arial" w:cs="Arial"/>
        </w:rPr>
      </w:pPr>
      <w:r w:rsidRPr="00095D59">
        <w:rPr>
          <w:rFonts w:ascii="Arial" w:hAnsi="Arial" w:cs="Arial"/>
        </w:rPr>
        <w:t xml:space="preserve">Should appropriate mitigation and virement </w:t>
      </w:r>
      <w:r w:rsidR="00A9177F" w:rsidRPr="00095D59">
        <w:rPr>
          <w:rFonts w:ascii="Arial" w:hAnsi="Arial" w:cs="Arial"/>
        </w:rPr>
        <w:t xml:space="preserve">proposals </w:t>
      </w:r>
      <w:r w:rsidRPr="00095D59">
        <w:rPr>
          <w:rFonts w:ascii="Arial" w:hAnsi="Arial" w:cs="Arial"/>
        </w:rPr>
        <w:t>not bring the budget back to plan then risk sharing should be considered.  Enacting the risk sharing should be a recommendation of the FCG to the East and West Boards.</w:t>
      </w:r>
    </w:p>
    <w:p w14:paraId="181AB55D" w14:textId="22E5B4E5" w:rsidR="00E87F8D" w:rsidRPr="00A03A26" w:rsidRDefault="00516798" w:rsidP="000A75E3">
      <w:pPr>
        <w:pStyle w:val="Subheading2"/>
        <w:numPr>
          <w:ilvl w:val="0"/>
          <w:numId w:val="11"/>
        </w:numPr>
        <w:jc w:val="both"/>
        <w:rPr>
          <w:color w:val="auto"/>
        </w:rPr>
      </w:pPr>
      <w:r w:rsidRPr="00095D59">
        <w:rPr>
          <w:color w:val="auto"/>
        </w:rPr>
        <w:t>Financial risk shari</w:t>
      </w:r>
      <w:r w:rsidRPr="00A03A26">
        <w:rPr>
          <w:color w:val="auto"/>
        </w:rPr>
        <w:t>ng</w:t>
      </w:r>
    </w:p>
    <w:p w14:paraId="01005471" w14:textId="77777777" w:rsidR="00516798" w:rsidRPr="0004034B" w:rsidRDefault="00516798" w:rsidP="00327E42">
      <w:pPr>
        <w:numPr>
          <w:ilvl w:val="0"/>
          <w:numId w:val="4"/>
        </w:numPr>
        <w:jc w:val="both"/>
        <w:rPr>
          <w:rFonts w:ascii="Arial" w:hAnsi="Arial" w:cs="Arial"/>
        </w:rPr>
      </w:pPr>
      <w:r w:rsidRPr="0004034B">
        <w:rPr>
          <w:rFonts w:ascii="Arial" w:hAnsi="Arial" w:cs="Arial"/>
        </w:rPr>
        <w:t>The principles of any financial risk (and reward) sharing agreement are based on agreeing fair and equitable funding to control expenditure whilst optimising outcomes.</w:t>
      </w:r>
    </w:p>
    <w:p w14:paraId="0D06286E" w14:textId="53FA94A7" w:rsidR="00B91B76" w:rsidRPr="00095D59" w:rsidRDefault="00516798" w:rsidP="00327E42">
      <w:pPr>
        <w:numPr>
          <w:ilvl w:val="0"/>
          <w:numId w:val="4"/>
        </w:numPr>
        <w:jc w:val="both"/>
        <w:rPr>
          <w:rFonts w:ascii="Arial" w:hAnsi="Arial" w:cs="Arial"/>
        </w:rPr>
      </w:pPr>
      <w:r w:rsidRPr="0004034B">
        <w:rPr>
          <w:rFonts w:ascii="Arial" w:hAnsi="Arial" w:cs="Arial"/>
        </w:rPr>
        <w:t xml:space="preserve">Financial risk sharing agreements should be the </w:t>
      </w:r>
      <w:r w:rsidR="00A34672" w:rsidRPr="0004034B">
        <w:rPr>
          <w:rFonts w:ascii="Arial" w:hAnsi="Arial" w:cs="Arial"/>
        </w:rPr>
        <w:t>final</w:t>
      </w:r>
      <w:r w:rsidRPr="0004034B">
        <w:rPr>
          <w:rFonts w:ascii="Arial" w:hAnsi="Arial" w:cs="Arial"/>
        </w:rPr>
        <w:t xml:space="preserve"> </w:t>
      </w:r>
      <w:r w:rsidR="00133217" w:rsidRPr="0004034B">
        <w:rPr>
          <w:rFonts w:ascii="Arial" w:hAnsi="Arial" w:cs="Arial"/>
        </w:rPr>
        <w:t xml:space="preserve">option </w:t>
      </w:r>
      <w:r w:rsidRPr="0004034B">
        <w:rPr>
          <w:rFonts w:ascii="Arial" w:hAnsi="Arial" w:cs="Arial"/>
        </w:rPr>
        <w:t>after all efforts have been made to manage t</w:t>
      </w:r>
      <w:r w:rsidRPr="00095D59">
        <w:rPr>
          <w:rFonts w:ascii="Arial" w:hAnsi="Arial" w:cs="Arial"/>
        </w:rPr>
        <w:t>he risk in-year.</w:t>
      </w:r>
    </w:p>
    <w:p w14:paraId="4049AAF5" w14:textId="686A3E45" w:rsidR="00516798" w:rsidRPr="00095D59" w:rsidRDefault="0055421F" w:rsidP="003E4E7A">
      <w:pPr>
        <w:numPr>
          <w:ilvl w:val="0"/>
          <w:numId w:val="4"/>
        </w:numPr>
        <w:jc w:val="both"/>
        <w:rPr>
          <w:rFonts w:ascii="Arial" w:hAnsi="Arial" w:cs="Arial"/>
        </w:rPr>
      </w:pPr>
      <w:r w:rsidRPr="00095D59">
        <w:rPr>
          <w:rFonts w:ascii="Arial" w:hAnsi="Arial" w:cs="Arial"/>
        </w:rPr>
        <w:t>It’s</w:t>
      </w:r>
      <w:r w:rsidR="00B91B76" w:rsidRPr="00095D59">
        <w:rPr>
          <w:rFonts w:ascii="Arial" w:hAnsi="Arial" w:cs="Arial"/>
        </w:rPr>
        <w:t xml:space="preserve"> expected these risk shares will work</w:t>
      </w:r>
      <w:r w:rsidR="003E4E7A" w:rsidRPr="00095D59">
        <w:rPr>
          <w:rFonts w:ascii="Arial" w:hAnsi="Arial" w:cs="Arial"/>
        </w:rPr>
        <w:t xml:space="preserve"> the risk share allows </w:t>
      </w:r>
      <w:r w:rsidR="00761F5F" w:rsidRPr="00095D59">
        <w:rPr>
          <w:rFonts w:ascii="Arial" w:hAnsi="Arial" w:cs="Arial"/>
        </w:rPr>
        <w:t xml:space="preserve">the movement of </w:t>
      </w:r>
      <w:r w:rsidR="006541B9" w:rsidRPr="00095D59">
        <w:rPr>
          <w:rFonts w:ascii="Arial" w:hAnsi="Arial" w:cs="Arial"/>
        </w:rPr>
        <w:t xml:space="preserve">budget in year </w:t>
      </w:r>
      <w:r w:rsidR="003E4E7A" w:rsidRPr="00095D59">
        <w:rPr>
          <w:rFonts w:ascii="Arial" w:hAnsi="Arial" w:cs="Arial"/>
        </w:rPr>
        <w:t>between systems</w:t>
      </w:r>
      <w:r w:rsidR="006541B9" w:rsidRPr="00095D59">
        <w:rPr>
          <w:rFonts w:ascii="Arial" w:hAnsi="Arial" w:cs="Arial"/>
        </w:rPr>
        <w:t xml:space="preserve"> within the hosting organisation</w:t>
      </w:r>
      <w:r w:rsidR="003E4E7A" w:rsidRPr="00095D59">
        <w:rPr>
          <w:rFonts w:ascii="Arial" w:hAnsi="Arial" w:cs="Arial"/>
        </w:rPr>
        <w:t xml:space="preserve"> in a balanced economy to resolve allocation methodology issues to system allocations mismatching to historical spend</w:t>
      </w:r>
      <w:r w:rsidR="00B91B76" w:rsidRPr="00095D59">
        <w:rPr>
          <w:rFonts w:ascii="Arial" w:hAnsi="Arial" w:cs="Arial"/>
        </w:rPr>
        <w:t xml:space="preserve">. </w:t>
      </w:r>
    </w:p>
    <w:p w14:paraId="7B23150B" w14:textId="3EE5B73F" w:rsidR="00374817" w:rsidRPr="00095D59" w:rsidRDefault="00374817" w:rsidP="003E4E7A">
      <w:pPr>
        <w:numPr>
          <w:ilvl w:val="0"/>
          <w:numId w:val="4"/>
        </w:numPr>
        <w:jc w:val="both"/>
        <w:rPr>
          <w:rFonts w:ascii="Arial" w:hAnsi="Arial" w:cs="Arial"/>
        </w:rPr>
      </w:pPr>
      <w:r w:rsidRPr="00095D59">
        <w:rPr>
          <w:rFonts w:ascii="Arial" w:hAnsi="Arial" w:cs="Arial"/>
        </w:rPr>
        <w:t xml:space="preserve">The first route recognises individual ICB shortfalls in total POD budgets.  Therefore allowing an adjustment to </w:t>
      </w:r>
      <w:proofErr w:type="spellStart"/>
      <w:r w:rsidRPr="00095D59">
        <w:rPr>
          <w:rFonts w:ascii="Arial" w:hAnsi="Arial" w:cs="Arial"/>
        </w:rPr>
        <w:t>vire</w:t>
      </w:r>
      <w:proofErr w:type="spellEnd"/>
      <w:r w:rsidRPr="00095D59">
        <w:rPr>
          <w:rFonts w:ascii="Arial" w:hAnsi="Arial" w:cs="Arial"/>
        </w:rPr>
        <w:t xml:space="preserve"> budgets between ICBs below the bottom line position to bring in line with plan.  This excludes individual commissioning decisions made by ICBs, </w:t>
      </w:r>
      <w:proofErr w:type="spellStart"/>
      <w:r w:rsidRPr="00095D59">
        <w:rPr>
          <w:rFonts w:ascii="Arial" w:hAnsi="Arial" w:cs="Arial"/>
        </w:rPr>
        <w:t>eg</w:t>
      </w:r>
      <w:proofErr w:type="spellEnd"/>
      <w:r w:rsidRPr="00095D59">
        <w:rPr>
          <w:rFonts w:ascii="Arial" w:hAnsi="Arial" w:cs="Arial"/>
        </w:rPr>
        <w:t xml:space="preserve"> a variance to budget spend caused by investment.  As a result variances to budget should be explained before virement or risk share is made to ensure it is due to unexpected causes.</w:t>
      </w:r>
    </w:p>
    <w:p w14:paraId="59CB8099" w14:textId="54ED9D15" w:rsidR="00C92381" w:rsidRPr="00095D59" w:rsidRDefault="00516798" w:rsidP="00E87F8D">
      <w:pPr>
        <w:numPr>
          <w:ilvl w:val="0"/>
          <w:numId w:val="4"/>
        </w:numPr>
        <w:jc w:val="both"/>
        <w:rPr>
          <w:rFonts w:ascii="Arial" w:hAnsi="Arial" w:cs="Arial"/>
        </w:rPr>
      </w:pPr>
      <w:r w:rsidRPr="00095D59">
        <w:rPr>
          <w:rFonts w:ascii="Arial" w:hAnsi="Arial" w:cs="Arial"/>
        </w:rPr>
        <w:t>If the above is not possible due to an overall shortfall, the position will be shared based</w:t>
      </w:r>
      <w:r w:rsidR="00155C86" w:rsidRPr="00095D59">
        <w:rPr>
          <w:rFonts w:ascii="Arial" w:hAnsi="Arial" w:cs="Arial"/>
        </w:rPr>
        <w:t xml:space="preserve"> on </w:t>
      </w:r>
      <w:r w:rsidR="000F3468" w:rsidRPr="00095D59">
        <w:rPr>
          <w:rFonts w:ascii="Arial" w:hAnsi="Arial" w:cs="Arial"/>
        </w:rPr>
        <w:t>proportionately</w:t>
      </w:r>
      <w:r w:rsidR="00155C86" w:rsidRPr="00095D59">
        <w:rPr>
          <w:rFonts w:ascii="Arial" w:hAnsi="Arial" w:cs="Arial"/>
        </w:rPr>
        <w:t xml:space="preserve"> based on plan budget values</w:t>
      </w:r>
      <w:r w:rsidR="00E87F8D" w:rsidRPr="00095D59">
        <w:rPr>
          <w:rFonts w:ascii="Arial" w:hAnsi="Arial" w:cs="Arial"/>
        </w:rPr>
        <w:t xml:space="preserve"> by ICB</w:t>
      </w:r>
      <w:r w:rsidR="000F3468" w:rsidRPr="00095D59">
        <w:rPr>
          <w:rFonts w:ascii="Arial" w:hAnsi="Arial" w:cs="Arial"/>
        </w:rPr>
        <w:t xml:space="preserve"> delegated budgets</w:t>
      </w:r>
      <w:r w:rsidR="00937D6F" w:rsidRPr="00095D59">
        <w:rPr>
          <w:rFonts w:ascii="Arial" w:hAnsi="Arial" w:cs="Arial"/>
        </w:rPr>
        <w:t xml:space="preserve"> agreed at plan</w:t>
      </w:r>
      <w:r w:rsidR="00155C86" w:rsidRPr="00095D59">
        <w:rPr>
          <w:rFonts w:ascii="Arial" w:hAnsi="Arial" w:cs="Arial"/>
        </w:rPr>
        <w:t>. This is</w:t>
      </w:r>
      <w:r w:rsidRPr="00095D59">
        <w:rPr>
          <w:rFonts w:ascii="Arial" w:hAnsi="Arial" w:cs="Arial"/>
        </w:rPr>
        <w:t xml:space="preserve"> with the exception of decisions made by individual </w:t>
      </w:r>
      <w:r w:rsidR="00E87F8D" w:rsidRPr="00095D59">
        <w:rPr>
          <w:rFonts w:ascii="Arial" w:hAnsi="Arial" w:cs="Arial"/>
        </w:rPr>
        <w:t>ICBs</w:t>
      </w:r>
      <w:r w:rsidRPr="00095D59">
        <w:rPr>
          <w:rFonts w:ascii="Arial" w:hAnsi="Arial" w:cs="Arial"/>
        </w:rPr>
        <w:t xml:space="preserve"> </w:t>
      </w:r>
      <w:r w:rsidR="006821EE" w:rsidRPr="00095D59">
        <w:rPr>
          <w:rFonts w:ascii="Arial" w:hAnsi="Arial" w:cs="Arial"/>
        </w:rPr>
        <w:t>e.g.,</w:t>
      </w:r>
      <w:r w:rsidRPr="00095D59">
        <w:rPr>
          <w:rFonts w:ascii="Arial" w:hAnsi="Arial" w:cs="Arial"/>
        </w:rPr>
        <w:t xml:space="preserve"> </w:t>
      </w:r>
      <w:r w:rsidR="00724F89" w:rsidRPr="00095D59">
        <w:rPr>
          <w:rFonts w:ascii="Arial" w:hAnsi="Arial" w:cs="Arial"/>
        </w:rPr>
        <w:t xml:space="preserve">ICB </w:t>
      </w:r>
      <w:r w:rsidR="00724F89" w:rsidRPr="00095D59">
        <w:rPr>
          <w:rFonts w:ascii="Arial" w:hAnsi="Arial" w:cs="Arial"/>
        </w:rPr>
        <w:lastRenderedPageBreak/>
        <w:t>investment/disinvestment above initial financial plan levels decisions are excluded from the risk share unless with the explicit agreement of all ICBs</w:t>
      </w:r>
      <w:r w:rsidRPr="00095D59">
        <w:rPr>
          <w:rFonts w:ascii="Arial" w:hAnsi="Arial" w:cs="Arial"/>
        </w:rPr>
        <w:t>.</w:t>
      </w:r>
    </w:p>
    <w:p w14:paraId="085C4920" w14:textId="1B99A0AE" w:rsidR="003E4E7A" w:rsidRPr="00095D59" w:rsidRDefault="007B75F3" w:rsidP="00E87F8D">
      <w:pPr>
        <w:numPr>
          <w:ilvl w:val="0"/>
          <w:numId w:val="4"/>
        </w:numPr>
        <w:jc w:val="both"/>
        <w:rPr>
          <w:rFonts w:ascii="Arial" w:hAnsi="Arial" w:cs="Arial"/>
        </w:rPr>
      </w:pPr>
      <w:r w:rsidRPr="00095D59">
        <w:rPr>
          <w:rFonts w:ascii="Arial" w:hAnsi="Arial" w:cs="Arial"/>
        </w:rPr>
        <w:t>System allocation mismatch</w:t>
      </w:r>
      <w:r w:rsidR="003E4E7A" w:rsidRPr="00095D59">
        <w:rPr>
          <w:rFonts w:ascii="Arial" w:hAnsi="Arial" w:cs="Arial"/>
        </w:rPr>
        <w:t xml:space="preserve"> assumes an overall balanced economy.  As the reporting develops, reporting will also be produced at a system level</w:t>
      </w:r>
      <w:r w:rsidR="000F3468" w:rsidRPr="00095D59">
        <w:rPr>
          <w:rFonts w:ascii="Arial" w:hAnsi="Arial" w:cs="Arial"/>
        </w:rPr>
        <w:t xml:space="preserve"> (by Q2 of 2023)</w:t>
      </w:r>
      <w:r w:rsidR="003E4E7A" w:rsidRPr="00095D59">
        <w:rPr>
          <w:rFonts w:ascii="Arial" w:hAnsi="Arial" w:cs="Arial"/>
        </w:rPr>
        <w:t xml:space="preserve">, and a balancing adjustment between systems will be </w:t>
      </w:r>
      <w:r w:rsidR="000F3468" w:rsidRPr="00095D59">
        <w:rPr>
          <w:rFonts w:ascii="Arial" w:hAnsi="Arial" w:cs="Arial"/>
        </w:rPr>
        <w:t>proposed</w:t>
      </w:r>
      <w:r w:rsidR="003E4E7A" w:rsidRPr="00095D59">
        <w:rPr>
          <w:rFonts w:ascii="Arial" w:hAnsi="Arial" w:cs="Arial"/>
        </w:rPr>
        <w:t xml:space="preserve"> by the hosted team </w:t>
      </w:r>
      <w:r w:rsidR="000F3468" w:rsidRPr="00095D59">
        <w:rPr>
          <w:rFonts w:ascii="Arial" w:hAnsi="Arial" w:cs="Arial"/>
        </w:rPr>
        <w:t xml:space="preserve">to bring systems in line with budgets.  </w:t>
      </w:r>
      <w:r w:rsidR="003E4E7A" w:rsidRPr="00095D59">
        <w:rPr>
          <w:rFonts w:ascii="Arial" w:hAnsi="Arial" w:cs="Arial"/>
        </w:rPr>
        <w:t xml:space="preserve">Any overall shortfall </w:t>
      </w:r>
      <w:r w:rsidR="000F3468" w:rsidRPr="00095D59">
        <w:rPr>
          <w:rFonts w:ascii="Arial" w:hAnsi="Arial" w:cs="Arial"/>
        </w:rPr>
        <w:t xml:space="preserve">from budget </w:t>
      </w:r>
      <w:r w:rsidR="003E4E7A" w:rsidRPr="00095D59">
        <w:rPr>
          <w:rFonts w:ascii="Arial" w:hAnsi="Arial" w:cs="Arial"/>
        </w:rPr>
        <w:t xml:space="preserve">will be dealt with as highlighted </w:t>
      </w:r>
      <w:r w:rsidR="000F3468" w:rsidRPr="00095D59">
        <w:rPr>
          <w:rFonts w:ascii="Arial" w:hAnsi="Arial" w:cs="Arial"/>
        </w:rPr>
        <w:t>in the previous paragraph</w:t>
      </w:r>
      <w:r w:rsidR="003E4E7A" w:rsidRPr="00095D59">
        <w:rPr>
          <w:rFonts w:ascii="Arial" w:hAnsi="Arial" w:cs="Arial"/>
        </w:rPr>
        <w:t>.</w:t>
      </w:r>
      <w:r w:rsidR="00FD781F" w:rsidRPr="00095D59">
        <w:rPr>
          <w:rFonts w:ascii="Arial" w:hAnsi="Arial" w:cs="Arial"/>
        </w:rPr>
        <w:t xml:space="preserve">  The balancing adjustment should be shown within the reporting to support transparency and understanding.</w:t>
      </w:r>
    </w:p>
    <w:p w14:paraId="1BC9DB31" w14:textId="4E3F7FCA" w:rsidR="00E87F8D" w:rsidRDefault="00E87F8D" w:rsidP="00E87F8D">
      <w:pPr>
        <w:numPr>
          <w:ilvl w:val="0"/>
          <w:numId w:val="4"/>
        </w:numPr>
        <w:jc w:val="both"/>
        <w:rPr>
          <w:rFonts w:ascii="Arial" w:hAnsi="Arial" w:cs="Arial"/>
        </w:rPr>
      </w:pPr>
      <w:bookmarkStart w:id="2" w:name="_Hlk106102454"/>
      <w:r w:rsidRPr="00095D59">
        <w:rPr>
          <w:rFonts w:ascii="Arial" w:hAnsi="Arial" w:cs="Arial"/>
        </w:rPr>
        <w:t xml:space="preserve">Quarterly position </w:t>
      </w:r>
      <w:r w:rsidRPr="0004034B">
        <w:rPr>
          <w:rFonts w:ascii="Arial" w:hAnsi="Arial" w:cs="Arial"/>
        </w:rPr>
        <w:t>statements of agreed risk sharing should be produced</w:t>
      </w:r>
      <w:r w:rsidR="00FD781F" w:rsidRPr="0004034B">
        <w:rPr>
          <w:rFonts w:ascii="Arial" w:hAnsi="Arial" w:cs="Arial"/>
        </w:rPr>
        <w:t xml:space="preserve"> including a forecast at each quarter.  These will form the basis of recommended adjustments</w:t>
      </w:r>
      <w:r w:rsidRPr="0004034B">
        <w:rPr>
          <w:rFonts w:ascii="Arial" w:hAnsi="Arial" w:cs="Arial"/>
        </w:rPr>
        <w:t>, and at Q3 a forecast</w:t>
      </w:r>
      <w:r w:rsidR="00FD781F" w:rsidRPr="0004034B">
        <w:rPr>
          <w:rFonts w:ascii="Arial" w:hAnsi="Arial" w:cs="Arial"/>
        </w:rPr>
        <w:t xml:space="preserve"> and recommendation will be made</w:t>
      </w:r>
      <w:r w:rsidR="000B7B97" w:rsidRPr="0004034B">
        <w:rPr>
          <w:rFonts w:ascii="Arial" w:hAnsi="Arial" w:cs="Arial"/>
        </w:rPr>
        <w:t xml:space="preserve"> for the year end to support delivery of year end positions.</w:t>
      </w:r>
      <w:r w:rsidR="00FD781F" w:rsidRPr="0004034B">
        <w:rPr>
          <w:rFonts w:ascii="Arial" w:hAnsi="Arial" w:cs="Arial"/>
        </w:rPr>
        <w:t xml:space="preserve">  This may be supplemented by a Month 11 update and recommendation</w:t>
      </w:r>
      <w:r w:rsidR="00357723">
        <w:rPr>
          <w:rFonts w:ascii="Arial" w:hAnsi="Arial" w:cs="Arial"/>
        </w:rPr>
        <w:t>.</w:t>
      </w:r>
    </w:p>
    <w:p w14:paraId="75163854" w14:textId="23E5500F" w:rsidR="00357723" w:rsidRPr="00937D6F" w:rsidRDefault="00357723" w:rsidP="00E87F8D">
      <w:pPr>
        <w:numPr>
          <w:ilvl w:val="0"/>
          <w:numId w:val="4"/>
        </w:numPr>
        <w:jc w:val="both"/>
        <w:rPr>
          <w:rFonts w:ascii="Arial" w:hAnsi="Arial" w:cs="Arial"/>
        </w:rPr>
      </w:pPr>
      <w:r w:rsidRPr="00937D6F">
        <w:rPr>
          <w:rFonts w:ascii="Arial" w:hAnsi="Arial" w:cs="Arial"/>
        </w:rPr>
        <w:t xml:space="preserve">Reporting will be in place </w:t>
      </w:r>
      <w:r w:rsidR="009056F6" w:rsidRPr="00937D6F">
        <w:rPr>
          <w:rFonts w:ascii="Arial" w:hAnsi="Arial" w:cs="Arial"/>
        </w:rPr>
        <w:t xml:space="preserve">monthly </w:t>
      </w:r>
      <w:r w:rsidRPr="00937D6F">
        <w:rPr>
          <w:rFonts w:ascii="Arial" w:hAnsi="Arial" w:cs="Arial"/>
        </w:rPr>
        <w:t>to support budget monitoring</w:t>
      </w:r>
      <w:r w:rsidR="009056F6" w:rsidRPr="00937D6F">
        <w:rPr>
          <w:rFonts w:ascii="Arial" w:hAnsi="Arial" w:cs="Arial"/>
        </w:rPr>
        <w:t>.</w:t>
      </w:r>
      <w:r w:rsidRPr="00937D6F">
        <w:rPr>
          <w:rFonts w:ascii="Arial" w:hAnsi="Arial" w:cs="Arial"/>
        </w:rPr>
        <w:t xml:space="preserve"> </w:t>
      </w:r>
      <w:r w:rsidR="009056F6" w:rsidRPr="00937D6F">
        <w:rPr>
          <w:rFonts w:ascii="Arial" w:hAnsi="Arial" w:cs="Arial"/>
        </w:rPr>
        <w:t xml:space="preserve">Application of risk arrangements will commence </w:t>
      </w:r>
      <w:r w:rsidRPr="00937D6F">
        <w:rPr>
          <w:rFonts w:ascii="Arial" w:hAnsi="Arial" w:cs="Arial"/>
        </w:rPr>
        <w:t>by Q2 of 2023</w:t>
      </w:r>
      <w:r w:rsidR="009056F6" w:rsidRPr="00937D6F">
        <w:rPr>
          <w:rFonts w:ascii="Arial" w:hAnsi="Arial" w:cs="Arial"/>
        </w:rPr>
        <w:t xml:space="preserve"> to allow sufficient actual activity to be available</w:t>
      </w:r>
      <w:r w:rsidRPr="00937D6F">
        <w:rPr>
          <w:rFonts w:ascii="Arial" w:hAnsi="Arial" w:cs="Arial"/>
        </w:rPr>
        <w:t>.  Reporting will be at a level that allows the drilling down into PODs to understand the cause of variances.  (This will be developed by a separate sub-group)</w:t>
      </w:r>
    </w:p>
    <w:bookmarkEnd w:id="2"/>
    <w:p w14:paraId="6F116038" w14:textId="1236C2A9" w:rsidR="00C92381" w:rsidRPr="00095D59" w:rsidRDefault="000B7B97" w:rsidP="00327E42">
      <w:pPr>
        <w:numPr>
          <w:ilvl w:val="0"/>
          <w:numId w:val="4"/>
        </w:numPr>
        <w:jc w:val="both"/>
        <w:rPr>
          <w:rFonts w:ascii="Arial" w:hAnsi="Arial" w:cs="Arial"/>
        </w:rPr>
      </w:pPr>
      <w:r w:rsidRPr="0004034B">
        <w:rPr>
          <w:rFonts w:ascii="Arial" w:hAnsi="Arial" w:cs="Arial"/>
        </w:rPr>
        <w:t>Enacting the risk share will be a recommendation of the FCG to the East and West Boards.</w:t>
      </w:r>
    </w:p>
    <w:p w14:paraId="59D67D0C" w14:textId="6CB25C8B" w:rsidR="000B7B97" w:rsidRPr="00095D59" w:rsidRDefault="000B7B97" w:rsidP="00327E42">
      <w:pPr>
        <w:numPr>
          <w:ilvl w:val="0"/>
          <w:numId w:val="4"/>
        </w:numPr>
        <w:jc w:val="both"/>
        <w:rPr>
          <w:rFonts w:ascii="Arial" w:hAnsi="Arial" w:cs="Arial"/>
        </w:rPr>
      </w:pPr>
      <w:r w:rsidRPr="00095D59">
        <w:rPr>
          <w:rFonts w:ascii="Arial" w:hAnsi="Arial" w:cs="Arial"/>
        </w:rPr>
        <w:t xml:space="preserve">The risk share will be region wide, </w:t>
      </w:r>
      <w:r w:rsidR="006821EE" w:rsidRPr="00095D59">
        <w:rPr>
          <w:rFonts w:ascii="Arial" w:hAnsi="Arial" w:cs="Arial"/>
        </w:rPr>
        <w:t>i.e.,</w:t>
      </w:r>
      <w:r w:rsidRPr="00095D59">
        <w:rPr>
          <w:rFonts w:ascii="Arial" w:hAnsi="Arial" w:cs="Arial"/>
        </w:rPr>
        <w:t xml:space="preserve"> East and West Midlands.  This should be part of a review after year 1 and a better understanding of budget variations.</w:t>
      </w:r>
    </w:p>
    <w:p w14:paraId="46BF468E" w14:textId="214839BF" w:rsidR="00516798" w:rsidRPr="00095D59" w:rsidRDefault="000B7B97" w:rsidP="00327E42">
      <w:pPr>
        <w:numPr>
          <w:ilvl w:val="0"/>
          <w:numId w:val="4"/>
        </w:numPr>
        <w:jc w:val="both"/>
        <w:rPr>
          <w:rFonts w:ascii="Arial" w:hAnsi="Arial" w:cs="Arial"/>
        </w:rPr>
      </w:pPr>
      <w:r w:rsidRPr="00095D59">
        <w:rPr>
          <w:rFonts w:ascii="Arial" w:hAnsi="Arial" w:cs="Arial"/>
        </w:rPr>
        <w:t xml:space="preserve">All services that are part of the delegation will be included in the risk share.  </w:t>
      </w:r>
      <w:r w:rsidR="006821EE" w:rsidRPr="00095D59">
        <w:rPr>
          <w:rFonts w:ascii="Arial" w:hAnsi="Arial" w:cs="Arial"/>
        </w:rPr>
        <w:t>Currently</w:t>
      </w:r>
      <w:r w:rsidRPr="00095D59">
        <w:rPr>
          <w:rFonts w:ascii="Arial" w:hAnsi="Arial" w:cs="Arial"/>
        </w:rPr>
        <w:t xml:space="preserve"> there are not specific risk shares for each speciality.</w:t>
      </w:r>
    </w:p>
    <w:p w14:paraId="38EFACFA" w14:textId="3158D099" w:rsidR="00125BB8" w:rsidRPr="00095D59" w:rsidRDefault="00125BB8" w:rsidP="00125BB8">
      <w:pPr>
        <w:pStyle w:val="ListParagraph"/>
        <w:numPr>
          <w:ilvl w:val="0"/>
          <w:numId w:val="11"/>
        </w:numPr>
        <w:jc w:val="both"/>
        <w:rPr>
          <w:rFonts w:ascii="Arial" w:hAnsi="Arial" w:cs="Arial"/>
          <w:b/>
          <w:bCs/>
        </w:rPr>
      </w:pPr>
      <w:r w:rsidRPr="00095D59">
        <w:rPr>
          <w:rFonts w:ascii="Arial" w:hAnsi="Arial" w:cs="Arial"/>
          <w:b/>
          <w:bCs/>
        </w:rPr>
        <w:t xml:space="preserve">The future of risk sharing for </w:t>
      </w:r>
      <w:r w:rsidR="00357723" w:rsidRPr="00095D59">
        <w:rPr>
          <w:rFonts w:ascii="Arial" w:hAnsi="Arial" w:cs="Arial"/>
          <w:b/>
          <w:sz w:val="24"/>
          <w:szCs w:val="24"/>
        </w:rPr>
        <w:t>Pharmacy, Optometry, and Dentistry (PODs)</w:t>
      </w:r>
    </w:p>
    <w:p w14:paraId="5C246C1C" w14:textId="77777777" w:rsidR="00125BB8" w:rsidRPr="0004034B" w:rsidRDefault="00125BB8" w:rsidP="00125BB8">
      <w:pPr>
        <w:pStyle w:val="ListParagraph"/>
        <w:ind w:left="360"/>
        <w:jc w:val="both"/>
        <w:rPr>
          <w:rFonts w:ascii="Arial" w:hAnsi="Arial" w:cs="Arial"/>
        </w:rPr>
      </w:pPr>
    </w:p>
    <w:p w14:paraId="1820CD3B" w14:textId="722A41A9" w:rsidR="00125BB8" w:rsidRPr="0004034B" w:rsidRDefault="00125BB8" w:rsidP="00125BB8">
      <w:pPr>
        <w:numPr>
          <w:ilvl w:val="0"/>
          <w:numId w:val="4"/>
        </w:numPr>
        <w:jc w:val="both"/>
        <w:rPr>
          <w:rFonts w:ascii="Arial" w:hAnsi="Arial" w:cs="Arial"/>
        </w:rPr>
      </w:pPr>
      <w:r w:rsidRPr="0004034B">
        <w:rPr>
          <w:rFonts w:ascii="Arial" w:hAnsi="Arial" w:cs="Arial"/>
        </w:rPr>
        <w:t>This risk share is intended to be in place to allow a greater degree of understanding by ICBs of the risks inherited from delegating budgets either from changes in allocation methodology, or in year changes in spend.</w:t>
      </w:r>
    </w:p>
    <w:p w14:paraId="5A25D279" w14:textId="459AE360" w:rsidR="00125BB8" w:rsidRPr="00095D59" w:rsidRDefault="00141EDA" w:rsidP="00125BB8">
      <w:pPr>
        <w:numPr>
          <w:ilvl w:val="0"/>
          <w:numId w:val="4"/>
        </w:numPr>
        <w:jc w:val="both"/>
        <w:rPr>
          <w:rFonts w:ascii="Arial" w:hAnsi="Arial" w:cs="Arial"/>
        </w:rPr>
      </w:pPr>
      <w:r w:rsidRPr="0004034B">
        <w:rPr>
          <w:rFonts w:ascii="Arial" w:hAnsi="Arial" w:cs="Arial"/>
        </w:rPr>
        <w:t>Whilst the risk share continues to be in place it will be subject to annual review and amendment by con</w:t>
      </w:r>
      <w:r w:rsidRPr="00095D59">
        <w:rPr>
          <w:rFonts w:ascii="Arial" w:hAnsi="Arial" w:cs="Arial"/>
        </w:rPr>
        <w:t>sensus agreement</w:t>
      </w:r>
    </w:p>
    <w:p w14:paraId="343FC1BC" w14:textId="1277A910" w:rsidR="00FD781F" w:rsidRPr="00095D59" w:rsidRDefault="00937D6F" w:rsidP="00125BB8">
      <w:pPr>
        <w:numPr>
          <w:ilvl w:val="0"/>
          <w:numId w:val="4"/>
        </w:numPr>
        <w:jc w:val="both"/>
        <w:rPr>
          <w:rFonts w:ascii="Arial" w:hAnsi="Arial" w:cs="Arial"/>
        </w:rPr>
      </w:pPr>
      <w:r w:rsidRPr="00095D59">
        <w:rPr>
          <w:rFonts w:ascii="Arial" w:hAnsi="Arial" w:cs="Arial"/>
        </w:rPr>
        <w:t>The risk share is seen as transitional, however t</w:t>
      </w:r>
      <w:r w:rsidR="00FD781F" w:rsidRPr="00095D59">
        <w:rPr>
          <w:rFonts w:ascii="Arial" w:hAnsi="Arial" w:cs="Arial"/>
        </w:rPr>
        <w:t>he risk share will continue by default in the absence of any agreed changes</w:t>
      </w:r>
      <w:r w:rsidR="00141EDA" w:rsidRPr="00095D59">
        <w:rPr>
          <w:rFonts w:ascii="Arial" w:hAnsi="Arial" w:cs="Arial"/>
        </w:rPr>
        <w:t xml:space="preserve"> that would be </w:t>
      </w:r>
      <w:r w:rsidR="007B75F3" w:rsidRPr="00095D59">
        <w:rPr>
          <w:rFonts w:ascii="Arial" w:hAnsi="Arial" w:cs="Arial"/>
        </w:rPr>
        <w:t>recommended</w:t>
      </w:r>
      <w:r w:rsidR="00141EDA" w:rsidRPr="00095D59">
        <w:rPr>
          <w:rFonts w:ascii="Arial" w:hAnsi="Arial" w:cs="Arial"/>
        </w:rPr>
        <w:t xml:space="preserve"> by the FCAG, and approved by the East/West Board</w:t>
      </w:r>
      <w:r w:rsidR="00FD781F" w:rsidRPr="00095D59">
        <w:rPr>
          <w:rFonts w:ascii="Arial" w:hAnsi="Arial" w:cs="Arial"/>
        </w:rPr>
        <w:t>.</w:t>
      </w:r>
    </w:p>
    <w:p w14:paraId="7C7F0D2E" w14:textId="4D339356" w:rsidR="00125BB8" w:rsidRPr="0004034B" w:rsidRDefault="00125BB8" w:rsidP="00125BB8">
      <w:pPr>
        <w:numPr>
          <w:ilvl w:val="0"/>
          <w:numId w:val="4"/>
        </w:numPr>
        <w:jc w:val="both"/>
        <w:rPr>
          <w:rFonts w:ascii="Arial" w:hAnsi="Arial" w:cs="Arial"/>
        </w:rPr>
      </w:pPr>
      <w:r w:rsidRPr="00095D59">
        <w:rPr>
          <w:rFonts w:ascii="Arial" w:hAnsi="Arial" w:cs="Arial"/>
        </w:rPr>
        <w:t xml:space="preserve">The review should </w:t>
      </w:r>
      <w:r w:rsidRPr="0004034B">
        <w:rPr>
          <w:rFonts w:ascii="Arial" w:hAnsi="Arial" w:cs="Arial"/>
        </w:rPr>
        <w:t>consider the geographical coverage, as well as service coverage.</w:t>
      </w:r>
    </w:p>
    <w:p w14:paraId="3A60168B" w14:textId="795DAB50" w:rsidR="00125BB8" w:rsidRPr="000F3468" w:rsidRDefault="00125BB8" w:rsidP="00125BB8">
      <w:pPr>
        <w:numPr>
          <w:ilvl w:val="0"/>
          <w:numId w:val="4"/>
        </w:numPr>
        <w:jc w:val="both"/>
        <w:rPr>
          <w:rFonts w:ascii="Arial" w:hAnsi="Arial" w:cs="Arial"/>
        </w:rPr>
      </w:pPr>
      <w:r w:rsidRPr="000F3468">
        <w:rPr>
          <w:rFonts w:ascii="Arial" w:hAnsi="Arial" w:cs="Arial"/>
        </w:rPr>
        <w:t>Removal</w:t>
      </w:r>
      <w:r w:rsidR="00EF128B" w:rsidRPr="000F3468">
        <w:rPr>
          <w:rFonts w:ascii="Arial" w:hAnsi="Arial" w:cs="Arial"/>
        </w:rPr>
        <w:t xml:space="preserve"> and addition</w:t>
      </w:r>
      <w:r w:rsidRPr="000F3468">
        <w:rPr>
          <w:rFonts w:ascii="Arial" w:hAnsi="Arial" w:cs="Arial"/>
        </w:rPr>
        <w:t xml:space="preserve"> of services from the risk share should be by agreement of all members of the risk share group</w:t>
      </w:r>
      <w:r w:rsidR="00FD781F" w:rsidRPr="000F3468">
        <w:rPr>
          <w:rFonts w:ascii="Arial" w:hAnsi="Arial" w:cs="Arial"/>
        </w:rPr>
        <w:t>, including resource flow</w:t>
      </w:r>
      <w:r w:rsidRPr="000F3468">
        <w:rPr>
          <w:rFonts w:ascii="Arial" w:hAnsi="Arial" w:cs="Arial"/>
        </w:rPr>
        <w:t xml:space="preserve">. </w:t>
      </w:r>
      <w:r w:rsidR="00141EDA" w:rsidRPr="000F3468">
        <w:rPr>
          <w:rFonts w:ascii="Arial" w:hAnsi="Arial" w:cs="Arial"/>
        </w:rPr>
        <w:t>This means an IC</w:t>
      </w:r>
      <w:r w:rsidR="00357723" w:rsidRPr="000F3468">
        <w:rPr>
          <w:rFonts w:ascii="Arial" w:hAnsi="Arial" w:cs="Arial"/>
        </w:rPr>
        <w:t>B</w:t>
      </w:r>
      <w:r w:rsidR="00141EDA" w:rsidRPr="000F3468">
        <w:rPr>
          <w:rFonts w:ascii="Arial" w:hAnsi="Arial" w:cs="Arial"/>
        </w:rPr>
        <w:t xml:space="preserve"> cannot unilaterally leave the risk share.</w:t>
      </w:r>
      <w:r w:rsidRPr="000F3468">
        <w:rPr>
          <w:rFonts w:ascii="Arial" w:hAnsi="Arial" w:cs="Arial"/>
        </w:rPr>
        <w:t xml:space="preserve"> This should form a review at the end of the first year</w:t>
      </w:r>
      <w:r w:rsidR="00FD781F" w:rsidRPr="000F3468">
        <w:rPr>
          <w:rFonts w:ascii="Arial" w:hAnsi="Arial" w:cs="Arial"/>
        </w:rPr>
        <w:t>.  Changes should not remove the viability of a risk share.</w:t>
      </w:r>
    </w:p>
    <w:p w14:paraId="3D8F1D60" w14:textId="66752A6D" w:rsidR="00516798" w:rsidRPr="0004034B" w:rsidRDefault="00516798" w:rsidP="00327E42">
      <w:pPr>
        <w:pStyle w:val="Subheading2"/>
        <w:numPr>
          <w:ilvl w:val="0"/>
          <w:numId w:val="11"/>
        </w:numPr>
        <w:jc w:val="both"/>
        <w:rPr>
          <w:color w:val="auto"/>
        </w:rPr>
      </w:pPr>
      <w:r w:rsidRPr="0004034B">
        <w:rPr>
          <w:color w:val="auto"/>
        </w:rPr>
        <w:lastRenderedPageBreak/>
        <w:t xml:space="preserve">Use of contingency/ unallocated funds </w:t>
      </w:r>
    </w:p>
    <w:p w14:paraId="37E973AF" w14:textId="77777777" w:rsidR="000B7B97" w:rsidRPr="0004034B" w:rsidRDefault="000B7B97" w:rsidP="000B7B97">
      <w:pPr>
        <w:pStyle w:val="Subheading2"/>
        <w:ind w:left="360"/>
        <w:jc w:val="both"/>
        <w:rPr>
          <w:color w:val="auto"/>
        </w:rPr>
      </w:pPr>
    </w:p>
    <w:p w14:paraId="3AD42DA2" w14:textId="0AAAFFD5" w:rsidR="006422B9" w:rsidRPr="00095D59" w:rsidRDefault="00516798" w:rsidP="006422B9">
      <w:pPr>
        <w:numPr>
          <w:ilvl w:val="0"/>
          <w:numId w:val="4"/>
        </w:numPr>
        <w:jc w:val="both"/>
        <w:rPr>
          <w:rFonts w:ascii="Arial" w:hAnsi="Arial" w:cs="Arial"/>
        </w:rPr>
      </w:pPr>
      <w:r w:rsidRPr="0004034B">
        <w:rPr>
          <w:rFonts w:ascii="Arial" w:hAnsi="Arial" w:cs="Arial"/>
        </w:rPr>
        <w:t>Best practice looks to avoid holding back significant sums from the planning process, in terms of a central contingency</w:t>
      </w:r>
      <w:r w:rsidR="00592C85" w:rsidRPr="0004034B">
        <w:rPr>
          <w:rFonts w:ascii="Arial" w:hAnsi="Arial" w:cs="Arial"/>
        </w:rPr>
        <w:t>.  This is</w:t>
      </w:r>
      <w:r w:rsidRPr="0004034B">
        <w:rPr>
          <w:rFonts w:ascii="Arial" w:hAnsi="Arial" w:cs="Arial"/>
        </w:rPr>
        <w:t xml:space="preserve"> in part because of the requirement on the public sector to use the funds allocated for the purposes intended and in part to discourage organisations relying on such funds to ‘bail them out’ or ending with last minute year-end expenditure resulting in a sub-optimal use of resources.</w:t>
      </w:r>
      <w:r w:rsidR="00A60221" w:rsidRPr="0004034B">
        <w:rPr>
          <w:rFonts w:ascii="Arial" w:hAnsi="Arial" w:cs="Arial"/>
        </w:rPr>
        <w:t xml:space="preserve"> However, there are often unforeseen costs and a small level of contingency set aside to support may be required.</w:t>
      </w:r>
    </w:p>
    <w:p w14:paraId="5F1D2FB3" w14:textId="17137180" w:rsidR="00125BB8" w:rsidRPr="00095D59" w:rsidRDefault="000B7B97" w:rsidP="00125BB8">
      <w:pPr>
        <w:numPr>
          <w:ilvl w:val="0"/>
          <w:numId w:val="4"/>
        </w:numPr>
        <w:jc w:val="both"/>
        <w:rPr>
          <w:rFonts w:ascii="Arial" w:hAnsi="Arial" w:cs="Arial"/>
        </w:rPr>
      </w:pPr>
      <w:r w:rsidRPr="00095D59">
        <w:rPr>
          <w:rFonts w:ascii="Arial" w:hAnsi="Arial" w:cs="Arial"/>
        </w:rPr>
        <w:t xml:space="preserve">To meet unforeseen costs a planned contingency of 1% should be </w:t>
      </w:r>
      <w:r w:rsidR="00357723" w:rsidRPr="00095D59">
        <w:rPr>
          <w:rFonts w:ascii="Arial" w:hAnsi="Arial" w:cs="Arial"/>
        </w:rPr>
        <w:t>aspired to</w:t>
      </w:r>
      <w:r w:rsidR="006422B9" w:rsidRPr="00095D59">
        <w:rPr>
          <w:rFonts w:ascii="Arial" w:hAnsi="Arial" w:cs="Arial"/>
        </w:rPr>
        <w:t xml:space="preserve"> from within the delegated budgets</w:t>
      </w:r>
      <w:r w:rsidRPr="00095D59">
        <w:rPr>
          <w:rFonts w:ascii="Arial" w:hAnsi="Arial" w:cs="Arial"/>
        </w:rPr>
        <w:t>, and form a part of the mitigation process</w:t>
      </w:r>
      <w:r w:rsidR="00A60221" w:rsidRPr="00095D59">
        <w:rPr>
          <w:rFonts w:ascii="Arial" w:hAnsi="Arial" w:cs="Arial"/>
        </w:rPr>
        <w:t>, however this should be reviewed each time plans are agreed</w:t>
      </w:r>
      <w:r w:rsidR="006422B9" w:rsidRPr="00095D59">
        <w:rPr>
          <w:rFonts w:ascii="Arial" w:hAnsi="Arial" w:cs="Arial"/>
        </w:rPr>
        <w:t xml:space="preserve"> to ensure affordability of contingency creation is possible, and if not </w:t>
      </w:r>
      <w:r w:rsidR="003772F0" w:rsidRPr="00095D59">
        <w:rPr>
          <w:rFonts w:ascii="Arial" w:hAnsi="Arial" w:cs="Arial"/>
        </w:rPr>
        <w:t>possible,</w:t>
      </w:r>
      <w:r w:rsidR="006422B9" w:rsidRPr="00095D59">
        <w:rPr>
          <w:rFonts w:ascii="Arial" w:hAnsi="Arial" w:cs="Arial"/>
        </w:rPr>
        <w:t xml:space="preserve"> a recommended level put forward to the Finance and Contracting Sub-group</w:t>
      </w:r>
      <w:r w:rsidR="00A60221" w:rsidRPr="00095D59">
        <w:rPr>
          <w:rFonts w:ascii="Arial" w:hAnsi="Arial" w:cs="Arial"/>
        </w:rPr>
        <w:t>.</w:t>
      </w:r>
    </w:p>
    <w:p w14:paraId="2A464EB4" w14:textId="77777777" w:rsidR="00516798" w:rsidRPr="00095D59" w:rsidRDefault="00516798" w:rsidP="00327E42">
      <w:pPr>
        <w:pStyle w:val="Subheading2"/>
        <w:numPr>
          <w:ilvl w:val="0"/>
          <w:numId w:val="11"/>
        </w:numPr>
        <w:jc w:val="both"/>
        <w:rPr>
          <w:color w:val="auto"/>
        </w:rPr>
      </w:pPr>
      <w:r w:rsidRPr="00095D59">
        <w:rPr>
          <w:color w:val="auto"/>
        </w:rPr>
        <w:t>Assurance</w:t>
      </w:r>
    </w:p>
    <w:p w14:paraId="12D77A16" w14:textId="4F999931" w:rsidR="0007076B" w:rsidRPr="00937D6F" w:rsidRDefault="00A03A26" w:rsidP="000B7B97">
      <w:pPr>
        <w:numPr>
          <w:ilvl w:val="0"/>
          <w:numId w:val="4"/>
        </w:numPr>
        <w:jc w:val="both"/>
        <w:rPr>
          <w:rFonts w:ascii="Arial" w:hAnsi="Arial" w:cs="Arial"/>
        </w:rPr>
      </w:pPr>
      <w:r w:rsidRPr="00937D6F">
        <w:rPr>
          <w:rFonts w:ascii="Arial" w:hAnsi="Arial" w:cs="Arial"/>
        </w:rPr>
        <w:t>Following delegati</w:t>
      </w:r>
      <w:r w:rsidRPr="00095D59">
        <w:rPr>
          <w:rFonts w:ascii="Arial" w:hAnsi="Arial" w:cs="Arial"/>
        </w:rPr>
        <w:t>on there will be joint commissioning boards for East Midlands and West Midlands with a specific finance sub-committee. Through delegation from the ICBs this sub-committee will have responsibility for oversight and delivery of the risk management fram</w:t>
      </w:r>
      <w:r w:rsidRPr="00937D6F">
        <w:rPr>
          <w:rFonts w:ascii="Arial" w:hAnsi="Arial" w:cs="Arial"/>
        </w:rPr>
        <w:t xml:space="preserve">ework. </w:t>
      </w:r>
      <w:r w:rsidR="00516798" w:rsidRPr="00937D6F">
        <w:rPr>
          <w:rFonts w:ascii="Arial" w:hAnsi="Arial" w:cs="Arial"/>
        </w:rPr>
        <w:t xml:space="preserve">Regular </w:t>
      </w:r>
      <w:r w:rsidRPr="00937D6F">
        <w:rPr>
          <w:rFonts w:ascii="Arial" w:hAnsi="Arial" w:cs="Arial"/>
        </w:rPr>
        <w:t xml:space="preserve">financial performance </w:t>
      </w:r>
      <w:r w:rsidR="00516798" w:rsidRPr="00937D6F">
        <w:rPr>
          <w:rFonts w:ascii="Arial" w:hAnsi="Arial" w:cs="Arial"/>
        </w:rPr>
        <w:t>reporting</w:t>
      </w:r>
      <w:r w:rsidRPr="00937D6F">
        <w:rPr>
          <w:rFonts w:ascii="Arial" w:hAnsi="Arial" w:cs="Arial"/>
        </w:rPr>
        <w:t xml:space="preserve"> </w:t>
      </w:r>
      <w:r w:rsidR="00516798" w:rsidRPr="00937D6F">
        <w:rPr>
          <w:rFonts w:ascii="Arial" w:hAnsi="Arial" w:cs="Arial"/>
        </w:rPr>
        <w:t xml:space="preserve">will </w:t>
      </w:r>
      <w:r w:rsidRPr="00937D6F">
        <w:rPr>
          <w:rFonts w:ascii="Arial" w:hAnsi="Arial" w:cs="Arial"/>
        </w:rPr>
        <w:t>facilitate</w:t>
      </w:r>
      <w:r w:rsidR="00516798" w:rsidRPr="00937D6F">
        <w:rPr>
          <w:rFonts w:ascii="Arial" w:hAnsi="Arial" w:cs="Arial"/>
        </w:rPr>
        <w:t xml:space="preserve"> monitoring </w:t>
      </w:r>
      <w:r w:rsidRPr="00937D6F">
        <w:rPr>
          <w:rFonts w:ascii="Arial" w:hAnsi="Arial" w:cs="Arial"/>
        </w:rPr>
        <w:t xml:space="preserve">and management of </w:t>
      </w:r>
      <w:r w:rsidR="00516798" w:rsidRPr="00937D6F">
        <w:rPr>
          <w:rFonts w:ascii="Arial" w:hAnsi="Arial" w:cs="Arial"/>
        </w:rPr>
        <w:t>financial risk</w:t>
      </w:r>
      <w:r w:rsidRPr="00937D6F">
        <w:rPr>
          <w:rFonts w:ascii="Arial" w:hAnsi="Arial" w:cs="Arial"/>
        </w:rPr>
        <w:t xml:space="preserve"> and application of the terms of the framework will be </w:t>
      </w:r>
      <w:r w:rsidR="00465A6B" w:rsidRPr="00937D6F">
        <w:rPr>
          <w:rFonts w:ascii="Arial" w:hAnsi="Arial" w:cs="Arial"/>
        </w:rPr>
        <w:t>the responsibility of the finance sub-committee.</w:t>
      </w:r>
      <w:r w:rsidR="00724F89" w:rsidRPr="00937D6F">
        <w:rPr>
          <w:rFonts w:ascii="Arial" w:hAnsi="Arial" w:cs="Arial"/>
        </w:rPr>
        <w:t xml:space="preserve"> </w:t>
      </w:r>
    </w:p>
    <w:p w14:paraId="6F734B06" w14:textId="77777777" w:rsidR="00516798" w:rsidRPr="0004034B" w:rsidRDefault="00516798" w:rsidP="00327E42">
      <w:pPr>
        <w:pStyle w:val="Subheading2"/>
        <w:numPr>
          <w:ilvl w:val="0"/>
          <w:numId w:val="11"/>
        </w:numPr>
        <w:jc w:val="both"/>
        <w:rPr>
          <w:color w:val="auto"/>
        </w:rPr>
      </w:pPr>
      <w:r w:rsidRPr="0004034B">
        <w:rPr>
          <w:color w:val="auto"/>
        </w:rPr>
        <w:t>Appeals and escalation</w:t>
      </w:r>
    </w:p>
    <w:p w14:paraId="35120563" w14:textId="4E856176" w:rsidR="00516798" w:rsidRPr="00095D59" w:rsidRDefault="00516798" w:rsidP="00327E42">
      <w:pPr>
        <w:numPr>
          <w:ilvl w:val="0"/>
          <w:numId w:val="4"/>
        </w:numPr>
        <w:jc w:val="both"/>
        <w:rPr>
          <w:rFonts w:ascii="Arial" w:hAnsi="Arial" w:cs="Arial"/>
        </w:rPr>
      </w:pPr>
      <w:r w:rsidRPr="0004034B">
        <w:rPr>
          <w:rFonts w:ascii="Arial" w:hAnsi="Arial" w:cs="Arial"/>
        </w:rPr>
        <w:t>While there may be a financial risk sharing agreement, there will need to be a process for dispute resoluti</w:t>
      </w:r>
      <w:r w:rsidRPr="00095D59">
        <w:rPr>
          <w:rFonts w:ascii="Arial" w:hAnsi="Arial" w:cs="Arial"/>
        </w:rPr>
        <w:t xml:space="preserve">on where </w:t>
      </w:r>
      <w:r w:rsidR="000B7B97" w:rsidRPr="00095D59">
        <w:rPr>
          <w:rFonts w:ascii="Arial" w:hAnsi="Arial" w:cs="Arial"/>
        </w:rPr>
        <w:t>consensus cannot be agreed</w:t>
      </w:r>
      <w:r w:rsidRPr="00095D59">
        <w:rPr>
          <w:rFonts w:ascii="Arial" w:hAnsi="Arial" w:cs="Arial"/>
        </w:rPr>
        <w:t>.</w:t>
      </w:r>
    </w:p>
    <w:p w14:paraId="0F658980" w14:textId="6E0C1058" w:rsidR="0012719E" w:rsidRPr="0004034B" w:rsidRDefault="0012719E" w:rsidP="00327E42">
      <w:pPr>
        <w:numPr>
          <w:ilvl w:val="0"/>
          <w:numId w:val="4"/>
        </w:numPr>
        <w:jc w:val="both"/>
        <w:rPr>
          <w:rFonts w:ascii="Arial" w:hAnsi="Arial" w:cs="Arial"/>
        </w:rPr>
      </w:pPr>
      <w:r w:rsidRPr="00095D59">
        <w:rPr>
          <w:rFonts w:ascii="Arial" w:hAnsi="Arial" w:cs="Arial"/>
        </w:rPr>
        <w:t xml:space="preserve">Primarily </w:t>
      </w:r>
      <w:r w:rsidR="006821EE" w:rsidRPr="00095D59">
        <w:rPr>
          <w:rFonts w:ascii="Arial" w:hAnsi="Arial" w:cs="Arial"/>
        </w:rPr>
        <w:t xml:space="preserve">risk sharing </w:t>
      </w:r>
      <w:r w:rsidRPr="00095D59">
        <w:rPr>
          <w:rFonts w:ascii="Arial" w:hAnsi="Arial" w:cs="Arial"/>
        </w:rPr>
        <w:t xml:space="preserve">disagreements </w:t>
      </w:r>
      <w:r w:rsidR="000B7B97" w:rsidRPr="00095D59">
        <w:rPr>
          <w:rFonts w:ascii="Arial" w:hAnsi="Arial" w:cs="Arial"/>
        </w:rPr>
        <w:t>will be managed by the chair of the FC</w:t>
      </w:r>
      <w:r w:rsidR="003A3272" w:rsidRPr="00095D59">
        <w:rPr>
          <w:rFonts w:ascii="Arial" w:hAnsi="Arial" w:cs="Arial"/>
        </w:rPr>
        <w:t>A</w:t>
      </w:r>
      <w:r w:rsidR="000B7B97" w:rsidRPr="00095D59">
        <w:rPr>
          <w:rFonts w:ascii="Arial" w:hAnsi="Arial" w:cs="Arial"/>
        </w:rPr>
        <w:t>G</w:t>
      </w:r>
      <w:r w:rsidR="00141EDA" w:rsidRPr="00095D59">
        <w:rPr>
          <w:rFonts w:ascii="Arial" w:hAnsi="Arial" w:cs="Arial"/>
        </w:rPr>
        <w:t>, unless conflicted</w:t>
      </w:r>
      <w:r w:rsidR="000B7B97" w:rsidRPr="00095D59">
        <w:rPr>
          <w:rFonts w:ascii="Arial" w:hAnsi="Arial" w:cs="Arial"/>
        </w:rPr>
        <w:t>.</w:t>
      </w:r>
      <w:r w:rsidR="00141EDA" w:rsidRPr="00095D59">
        <w:rPr>
          <w:rFonts w:ascii="Arial" w:hAnsi="Arial" w:cs="Arial"/>
        </w:rPr>
        <w:t xml:space="preserve">  In the c</w:t>
      </w:r>
      <w:r w:rsidR="00141EDA" w:rsidRPr="0004034B">
        <w:rPr>
          <w:rFonts w:ascii="Arial" w:hAnsi="Arial" w:cs="Arial"/>
        </w:rPr>
        <w:t>ase of conflict, an agreed independent party will provide arbitration.</w:t>
      </w:r>
    </w:p>
    <w:p w14:paraId="4558A182" w14:textId="5FDBF694" w:rsidR="0012719E" w:rsidRPr="0004034B" w:rsidRDefault="000B7B97" w:rsidP="00327E42">
      <w:pPr>
        <w:numPr>
          <w:ilvl w:val="0"/>
          <w:numId w:val="4"/>
        </w:numPr>
        <w:jc w:val="both"/>
        <w:rPr>
          <w:rFonts w:ascii="Arial" w:hAnsi="Arial" w:cs="Arial"/>
        </w:rPr>
      </w:pPr>
      <w:r w:rsidRPr="0004034B">
        <w:rPr>
          <w:rFonts w:ascii="Arial" w:hAnsi="Arial" w:cs="Arial"/>
        </w:rPr>
        <w:t xml:space="preserve">Escalation to the East and West Boards </w:t>
      </w:r>
      <w:r w:rsidR="006821EE" w:rsidRPr="0004034B">
        <w:rPr>
          <w:rFonts w:ascii="Arial" w:hAnsi="Arial" w:cs="Arial"/>
        </w:rPr>
        <w:t>is required upon recommendation of the FC</w:t>
      </w:r>
      <w:r w:rsidR="003A3272">
        <w:rPr>
          <w:rFonts w:ascii="Arial" w:hAnsi="Arial" w:cs="Arial"/>
        </w:rPr>
        <w:t>A</w:t>
      </w:r>
      <w:r w:rsidR="006821EE" w:rsidRPr="0004034B">
        <w:rPr>
          <w:rFonts w:ascii="Arial" w:hAnsi="Arial" w:cs="Arial"/>
        </w:rPr>
        <w:t xml:space="preserve">G chair </w:t>
      </w:r>
      <w:r w:rsidRPr="0004034B">
        <w:rPr>
          <w:rFonts w:ascii="Arial" w:hAnsi="Arial" w:cs="Arial"/>
        </w:rPr>
        <w:t xml:space="preserve">should </w:t>
      </w:r>
      <w:r w:rsidR="006821EE" w:rsidRPr="0004034B">
        <w:rPr>
          <w:rFonts w:ascii="Arial" w:hAnsi="Arial" w:cs="Arial"/>
        </w:rPr>
        <w:t>a disagreement</w:t>
      </w:r>
      <w:r w:rsidRPr="0004034B">
        <w:rPr>
          <w:rFonts w:ascii="Arial" w:hAnsi="Arial" w:cs="Arial"/>
        </w:rPr>
        <w:t xml:space="preserve"> not be settled</w:t>
      </w:r>
      <w:r w:rsidR="006821EE" w:rsidRPr="0004034B">
        <w:rPr>
          <w:rFonts w:ascii="Arial" w:hAnsi="Arial" w:cs="Arial"/>
        </w:rPr>
        <w:t>.</w:t>
      </w:r>
      <w:r w:rsidRPr="0004034B">
        <w:rPr>
          <w:rFonts w:ascii="Arial" w:hAnsi="Arial" w:cs="Arial"/>
        </w:rPr>
        <w:t xml:space="preserve"> </w:t>
      </w:r>
    </w:p>
    <w:p w14:paraId="7438BFEE" w14:textId="0DB3BCE3" w:rsidR="00516798" w:rsidRDefault="006821EE" w:rsidP="00327E42">
      <w:pPr>
        <w:numPr>
          <w:ilvl w:val="0"/>
          <w:numId w:val="4"/>
        </w:numPr>
        <w:jc w:val="both"/>
        <w:rPr>
          <w:rFonts w:ascii="Arial" w:hAnsi="Arial" w:cs="Arial"/>
        </w:rPr>
      </w:pPr>
      <w:r w:rsidRPr="0004034B">
        <w:rPr>
          <w:rFonts w:ascii="Arial" w:hAnsi="Arial" w:cs="Arial"/>
        </w:rPr>
        <w:t>Should this not be resolved, NHS E</w:t>
      </w:r>
      <w:r w:rsidR="00EB5BAA" w:rsidRPr="0004034B">
        <w:rPr>
          <w:rFonts w:ascii="Arial" w:hAnsi="Arial" w:cs="Arial"/>
        </w:rPr>
        <w:t xml:space="preserve"> </w:t>
      </w:r>
      <w:r w:rsidRPr="0004034B">
        <w:rPr>
          <w:rFonts w:ascii="Arial" w:hAnsi="Arial" w:cs="Arial"/>
        </w:rPr>
        <w:t>will be requested to provide arbitration, however this should be avoided where possible and alternative routes identified</w:t>
      </w:r>
      <w:r w:rsidR="00516798" w:rsidRPr="0004034B">
        <w:rPr>
          <w:rFonts w:ascii="Arial" w:hAnsi="Arial" w:cs="Arial"/>
        </w:rPr>
        <w:t>.</w:t>
      </w:r>
    </w:p>
    <w:p w14:paraId="40280725" w14:textId="77777777" w:rsidR="00A00A47" w:rsidRPr="0004034B" w:rsidRDefault="00A00A47" w:rsidP="00327E42">
      <w:pPr>
        <w:jc w:val="both"/>
      </w:pPr>
    </w:p>
    <w:sectPr w:rsidR="00A00A47" w:rsidRPr="0004034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73D1A"/>
    <w:multiLevelType w:val="hybridMultilevel"/>
    <w:tmpl w:val="AE22D0E8"/>
    <w:lvl w:ilvl="0" w:tplc="0B623118">
      <w:start w:val="1"/>
      <w:numFmt w:val="bullet"/>
      <w:lvlText w:val="•"/>
      <w:lvlJc w:val="left"/>
      <w:pPr>
        <w:tabs>
          <w:tab w:val="num" w:pos="720"/>
        </w:tabs>
        <w:ind w:left="720" w:hanging="360"/>
      </w:pPr>
      <w:rPr>
        <w:rFonts w:ascii="Arial" w:hAnsi="Arial" w:hint="default"/>
      </w:rPr>
    </w:lvl>
    <w:lvl w:ilvl="1" w:tplc="AFBE8F68">
      <w:start w:val="3926"/>
      <w:numFmt w:val="bullet"/>
      <w:lvlText w:val="–"/>
      <w:lvlJc w:val="left"/>
      <w:pPr>
        <w:tabs>
          <w:tab w:val="num" w:pos="1440"/>
        </w:tabs>
        <w:ind w:left="1440" w:hanging="360"/>
      </w:pPr>
      <w:rPr>
        <w:rFonts w:ascii="Arial" w:hAnsi="Arial" w:hint="default"/>
      </w:rPr>
    </w:lvl>
    <w:lvl w:ilvl="2" w:tplc="2564FA96" w:tentative="1">
      <w:start w:val="1"/>
      <w:numFmt w:val="bullet"/>
      <w:lvlText w:val="•"/>
      <w:lvlJc w:val="left"/>
      <w:pPr>
        <w:tabs>
          <w:tab w:val="num" w:pos="2160"/>
        </w:tabs>
        <w:ind w:left="2160" w:hanging="360"/>
      </w:pPr>
      <w:rPr>
        <w:rFonts w:ascii="Arial" w:hAnsi="Arial" w:hint="default"/>
      </w:rPr>
    </w:lvl>
    <w:lvl w:ilvl="3" w:tplc="EB826A64" w:tentative="1">
      <w:start w:val="1"/>
      <w:numFmt w:val="bullet"/>
      <w:lvlText w:val="•"/>
      <w:lvlJc w:val="left"/>
      <w:pPr>
        <w:tabs>
          <w:tab w:val="num" w:pos="2880"/>
        </w:tabs>
        <w:ind w:left="2880" w:hanging="360"/>
      </w:pPr>
      <w:rPr>
        <w:rFonts w:ascii="Arial" w:hAnsi="Arial" w:hint="default"/>
      </w:rPr>
    </w:lvl>
    <w:lvl w:ilvl="4" w:tplc="D6A4ECE6" w:tentative="1">
      <w:start w:val="1"/>
      <w:numFmt w:val="bullet"/>
      <w:lvlText w:val="•"/>
      <w:lvlJc w:val="left"/>
      <w:pPr>
        <w:tabs>
          <w:tab w:val="num" w:pos="3600"/>
        </w:tabs>
        <w:ind w:left="3600" w:hanging="360"/>
      </w:pPr>
      <w:rPr>
        <w:rFonts w:ascii="Arial" w:hAnsi="Arial" w:hint="default"/>
      </w:rPr>
    </w:lvl>
    <w:lvl w:ilvl="5" w:tplc="D912094C" w:tentative="1">
      <w:start w:val="1"/>
      <w:numFmt w:val="bullet"/>
      <w:lvlText w:val="•"/>
      <w:lvlJc w:val="left"/>
      <w:pPr>
        <w:tabs>
          <w:tab w:val="num" w:pos="4320"/>
        </w:tabs>
        <w:ind w:left="4320" w:hanging="360"/>
      </w:pPr>
      <w:rPr>
        <w:rFonts w:ascii="Arial" w:hAnsi="Arial" w:hint="default"/>
      </w:rPr>
    </w:lvl>
    <w:lvl w:ilvl="6" w:tplc="047443E4" w:tentative="1">
      <w:start w:val="1"/>
      <w:numFmt w:val="bullet"/>
      <w:lvlText w:val="•"/>
      <w:lvlJc w:val="left"/>
      <w:pPr>
        <w:tabs>
          <w:tab w:val="num" w:pos="5040"/>
        </w:tabs>
        <w:ind w:left="5040" w:hanging="360"/>
      </w:pPr>
      <w:rPr>
        <w:rFonts w:ascii="Arial" w:hAnsi="Arial" w:hint="default"/>
      </w:rPr>
    </w:lvl>
    <w:lvl w:ilvl="7" w:tplc="0A9AF4BE" w:tentative="1">
      <w:start w:val="1"/>
      <w:numFmt w:val="bullet"/>
      <w:lvlText w:val="•"/>
      <w:lvlJc w:val="left"/>
      <w:pPr>
        <w:tabs>
          <w:tab w:val="num" w:pos="5760"/>
        </w:tabs>
        <w:ind w:left="5760" w:hanging="360"/>
      </w:pPr>
      <w:rPr>
        <w:rFonts w:ascii="Arial" w:hAnsi="Arial" w:hint="default"/>
      </w:rPr>
    </w:lvl>
    <w:lvl w:ilvl="8" w:tplc="DB421D8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3F32DFA"/>
    <w:multiLevelType w:val="hybridMultilevel"/>
    <w:tmpl w:val="188E574A"/>
    <w:lvl w:ilvl="0" w:tplc="19784FCE">
      <w:start w:val="1"/>
      <w:numFmt w:val="bullet"/>
      <w:lvlText w:val="•"/>
      <w:lvlJc w:val="left"/>
      <w:pPr>
        <w:tabs>
          <w:tab w:val="num" w:pos="720"/>
        </w:tabs>
        <w:ind w:left="720" w:hanging="360"/>
      </w:pPr>
      <w:rPr>
        <w:rFonts w:ascii="Arial" w:hAnsi="Arial" w:hint="default"/>
      </w:rPr>
    </w:lvl>
    <w:lvl w:ilvl="1" w:tplc="2444BFDE" w:tentative="1">
      <w:start w:val="1"/>
      <w:numFmt w:val="bullet"/>
      <w:lvlText w:val="•"/>
      <w:lvlJc w:val="left"/>
      <w:pPr>
        <w:tabs>
          <w:tab w:val="num" w:pos="1440"/>
        </w:tabs>
        <w:ind w:left="1440" w:hanging="360"/>
      </w:pPr>
      <w:rPr>
        <w:rFonts w:ascii="Arial" w:hAnsi="Arial" w:hint="default"/>
      </w:rPr>
    </w:lvl>
    <w:lvl w:ilvl="2" w:tplc="3D6224CA" w:tentative="1">
      <w:start w:val="1"/>
      <w:numFmt w:val="bullet"/>
      <w:lvlText w:val="•"/>
      <w:lvlJc w:val="left"/>
      <w:pPr>
        <w:tabs>
          <w:tab w:val="num" w:pos="2160"/>
        </w:tabs>
        <w:ind w:left="2160" w:hanging="360"/>
      </w:pPr>
      <w:rPr>
        <w:rFonts w:ascii="Arial" w:hAnsi="Arial" w:hint="default"/>
      </w:rPr>
    </w:lvl>
    <w:lvl w:ilvl="3" w:tplc="D8EC547C" w:tentative="1">
      <w:start w:val="1"/>
      <w:numFmt w:val="bullet"/>
      <w:lvlText w:val="•"/>
      <w:lvlJc w:val="left"/>
      <w:pPr>
        <w:tabs>
          <w:tab w:val="num" w:pos="2880"/>
        </w:tabs>
        <w:ind w:left="2880" w:hanging="360"/>
      </w:pPr>
      <w:rPr>
        <w:rFonts w:ascii="Arial" w:hAnsi="Arial" w:hint="default"/>
      </w:rPr>
    </w:lvl>
    <w:lvl w:ilvl="4" w:tplc="A54492EE" w:tentative="1">
      <w:start w:val="1"/>
      <w:numFmt w:val="bullet"/>
      <w:lvlText w:val="•"/>
      <w:lvlJc w:val="left"/>
      <w:pPr>
        <w:tabs>
          <w:tab w:val="num" w:pos="3600"/>
        </w:tabs>
        <w:ind w:left="3600" w:hanging="360"/>
      </w:pPr>
      <w:rPr>
        <w:rFonts w:ascii="Arial" w:hAnsi="Arial" w:hint="default"/>
      </w:rPr>
    </w:lvl>
    <w:lvl w:ilvl="5" w:tplc="1B62F29C" w:tentative="1">
      <w:start w:val="1"/>
      <w:numFmt w:val="bullet"/>
      <w:lvlText w:val="•"/>
      <w:lvlJc w:val="left"/>
      <w:pPr>
        <w:tabs>
          <w:tab w:val="num" w:pos="4320"/>
        </w:tabs>
        <w:ind w:left="4320" w:hanging="360"/>
      </w:pPr>
      <w:rPr>
        <w:rFonts w:ascii="Arial" w:hAnsi="Arial" w:hint="default"/>
      </w:rPr>
    </w:lvl>
    <w:lvl w:ilvl="6" w:tplc="DEC82816" w:tentative="1">
      <w:start w:val="1"/>
      <w:numFmt w:val="bullet"/>
      <w:lvlText w:val="•"/>
      <w:lvlJc w:val="left"/>
      <w:pPr>
        <w:tabs>
          <w:tab w:val="num" w:pos="5040"/>
        </w:tabs>
        <w:ind w:left="5040" w:hanging="360"/>
      </w:pPr>
      <w:rPr>
        <w:rFonts w:ascii="Arial" w:hAnsi="Arial" w:hint="default"/>
      </w:rPr>
    </w:lvl>
    <w:lvl w:ilvl="7" w:tplc="23F25C66" w:tentative="1">
      <w:start w:val="1"/>
      <w:numFmt w:val="bullet"/>
      <w:lvlText w:val="•"/>
      <w:lvlJc w:val="left"/>
      <w:pPr>
        <w:tabs>
          <w:tab w:val="num" w:pos="5760"/>
        </w:tabs>
        <w:ind w:left="5760" w:hanging="360"/>
      </w:pPr>
      <w:rPr>
        <w:rFonts w:ascii="Arial" w:hAnsi="Arial" w:hint="default"/>
      </w:rPr>
    </w:lvl>
    <w:lvl w:ilvl="8" w:tplc="29F0554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96816C2"/>
    <w:multiLevelType w:val="hybridMultilevel"/>
    <w:tmpl w:val="F0A8E7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352323C"/>
    <w:multiLevelType w:val="hybridMultilevel"/>
    <w:tmpl w:val="EF2AA9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6F2D94"/>
    <w:multiLevelType w:val="hybridMultilevel"/>
    <w:tmpl w:val="8E8E85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EE2321"/>
    <w:multiLevelType w:val="hybridMultilevel"/>
    <w:tmpl w:val="CE0AED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A66EB8"/>
    <w:multiLevelType w:val="hybridMultilevel"/>
    <w:tmpl w:val="C066830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4E526932"/>
    <w:multiLevelType w:val="hybridMultilevel"/>
    <w:tmpl w:val="5FF017F4"/>
    <w:lvl w:ilvl="0" w:tplc="2DCA0348">
      <w:numFmt w:val="bullet"/>
      <w:pStyle w:val="Bullet"/>
      <w:lvlText w:val="•"/>
      <w:lvlJc w:val="left"/>
      <w:pPr>
        <w:tabs>
          <w:tab w:val="num" w:pos="471"/>
        </w:tabs>
        <w:ind w:left="357" w:hanging="357"/>
      </w:pPr>
      <w:rPr>
        <w:rFonts w:ascii="Arial" w:hAnsi="Arial" w:hint="default"/>
        <w:color w:val="1F497D" w:themeColor="text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6DE3F8F"/>
    <w:multiLevelType w:val="hybridMultilevel"/>
    <w:tmpl w:val="155E17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F3B365F"/>
    <w:multiLevelType w:val="hybridMultilevel"/>
    <w:tmpl w:val="345C1030"/>
    <w:lvl w:ilvl="0" w:tplc="548880CC">
      <w:start w:val="1"/>
      <w:numFmt w:val="bullet"/>
      <w:lvlText w:val="•"/>
      <w:lvlJc w:val="left"/>
      <w:pPr>
        <w:tabs>
          <w:tab w:val="num" w:pos="720"/>
        </w:tabs>
        <w:ind w:left="720" w:hanging="360"/>
      </w:pPr>
      <w:rPr>
        <w:rFonts w:ascii="Arial" w:hAnsi="Arial" w:hint="default"/>
      </w:rPr>
    </w:lvl>
    <w:lvl w:ilvl="1" w:tplc="A1A22F6C" w:tentative="1">
      <w:start w:val="1"/>
      <w:numFmt w:val="bullet"/>
      <w:lvlText w:val="•"/>
      <w:lvlJc w:val="left"/>
      <w:pPr>
        <w:tabs>
          <w:tab w:val="num" w:pos="1440"/>
        </w:tabs>
        <w:ind w:left="1440" w:hanging="360"/>
      </w:pPr>
      <w:rPr>
        <w:rFonts w:ascii="Arial" w:hAnsi="Arial" w:hint="default"/>
      </w:rPr>
    </w:lvl>
    <w:lvl w:ilvl="2" w:tplc="985EFB8E" w:tentative="1">
      <w:start w:val="1"/>
      <w:numFmt w:val="bullet"/>
      <w:lvlText w:val="•"/>
      <w:lvlJc w:val="left"/>
      <w:pPr>
        <w:tabs>
          <w:tab w:val="num" w:pos="2160"/>
        </w:tabs>
        <w:ind w:left="2160" w:hanging="360"/>
      </w:pPr>
      <w:rPr>
        <w:rFonts w:ascii="Arial" w:hAnsi="Arial" w:hint="default"/>
      </w:rPr>
    </w:lvl>
    <w:lvl w:ilvl="3" w:tplc="3A7886BC" w:tentative="1">
      <w:start w:val="1"/>
      <w:numFmt w:val="bullet"/>
      <w:lvlText w:val="•"/>
      <w:lvlJc w:val="left"/>
      <w:pPr>
        <w:tabs>
          <w:tab w:val="num" w:pos="2880"/>
        </w:tabs>
        <w:ind w:left="2880" w:hanging="360"/>
      </w:pPr>
      <w:rPr>
        <w:rFonts w:ascii="Arial" w:hAnsi="Arial" w:hint="default"/>
      </w:rPr>
    </w:lvl>
    <w:lvl w:ilvl="4" w:tplc="5C801480" w:tentative="1">
      <w:start w:val="1"/>
      <w:numFmt w:val="bullet"/>
      <w:lvlText w:val="•"/>
      <w:lvlJc w:val="left"/>
      <w:pPr>
        <w:tabs>
          <w:tab w:val="num" w:pos="3600"/>
        </w:tabs>
        <w:ind w:left="3600" w:hanging="360"/>
      </w:pPr>
      <w:rPr>
        <w:rFonts w:ascii="Arial" w:hAnsi="Arial" w:hint="default"/>
      </w:rPr>
    </w:lvl>
    <w:lvl w:ilvl="5" w:tplc="D206DD9E" w:tentative="1">
      <w:start w:val="1"/>
      <w:numFmt w:val="bullet"/>
      <w:lvlText w:val="•"/>
      <w:lvlJc w:val="left"/>
      <w:pPr>
        <w:tabs>
          <w:tab w:val="num" w:pos="4320"/>
        </w:tabs>
        <w:ind w:left="4320" w:hanging="360"/>
      </w:pPr>
      <w:rPr>
        <w:rFonts w:ascii="Arial" w:hAnsi="Arial" w:hint="default"/>
      </w:rPr>
    </w:lvl>
    <w:lvl w:ilvl="6" w:tplc="B896DF82" w:tentative="1">
      <w:start w:val="1"/>
      <w:numFmt w:val="bullet"/>
      <w:lvlText w:val="•"/>
      <w:lvlJc w:val="left"/>
      <w:pPr>
        <w:tabs>
          <w:tab w:val="num" w:pos="5040"/>
        </w:tabs>
        <w:ind w:left="5040" w:hanging="360"/>
      </w:pPr>
      <w:rPr>
        <w:rFonts w:ascii="Arial" w:hAnsi="Arial" w:hint="default"/>
      </w:rPr>
    </w:lvl>
    <w:lvl w:ilvl="7" w:tplc="378EC28E" w:tentative="1">
      <w:start w:val="1"/>
      <w:numFmt w:val="bullet"/>
      <w:lvlText w:val="•"/>
      <w:lvlJc w:val="left"/>
      <w:pPr>
        <w:tabs>
          <w:tab w:val="num" w:pos="5760"/>
        </w:tabs>
        <w:ind w:left="5760" w:hanging="360"/>
      </w:pPr>
      <w:rPr>
        <w:rFonts w:ascii="Arial" w:hAnsi="Arial" w:hint="default"/>
      </w:rPr>
    </w:lvl>
    <w:lvl w:ilvl="8" w:tplc="46F6D18A"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65CF71F5"/>
    <w:multiLevelType w:val="hybridMultilevel"/>
    <w:tmpl w:val="1A30FD40"/>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6E5457CA"/>
    <w:multiLevelType w:val="hybridMultilevel"/>
    <w:tmpl w:val="6D5A91A0"/>
    <w:lvl w:ilvl="0" w:tplc="3162F7A0">
      <w:start w:val="1"/>
      <w:numFmt w:val="bullet"/>
      <w:lvlText w:val="•"/>
      <w:lvlJc w:val="left"/>
      <w:pPr>
        <w:tabs>
          <w:tab w:val="num" w:pos="720"/>
        </w:tabs>
        <w:ind w:left="720" w:hanging="360"/>
      </w:pPr>
      <w:rPr>
        <w:rFonts w:ascii="Arial" w:hAnsi="Arial" w:hint="default"/>
      </w:rPr>
    </w:lvl>
    <w:lvl w:ilvl="1" w:tplc="7C48322A">
      <w:start w:val="1"/>
      <w:numFmt w:val="bullet"/>
      <w:lvlText w:val="•"/>
      <w:lvlJc w:val="left"/>
      <w:pPr>
        <w:tabs>
          <w:tab w:val="num" w:pos="1440"/>
        </w:tabs>
        <w:ind w:left="1440" w:hanging="360"/>
      </w:pPr>
      <w:rPr>
        <w:rFonts w:ascii="Arial" w:hAnsi="Arial" w:hint="default"/>
      </w:rPr>
    </w:lvl>
    <w:lvl w:ilvl="2" w:tplc="BB1CB592">
      <w:start w:val="4071"/>
      <w:numFmt w:val="bullet"/>
      <w:lvlText w:val="•"/>
      <w:lvlJc w:val="left"/>
      <w:pPr>
        <w:tabs>
          <w:tab w:val="num" w:pos="2160"/>
        </w:tabs>
        <w:ind w:left="2160" w:hanging="360"/>
      </w:pPr>
      <w:rPr>
        <w:rFonts w:ascii="Arial" w:hAnsi="Arial" w:hint="default"/>
      </w:rPr>
    </w:lvl>
    <w:lvl w:ilvl="3" w:tplc="25A0BC8E" w:tentative="1">
      <w:start w:val="1"/>
      <w:numFmt w:val="bullet"/>
      <w:lvlText w:val="•"/>
      <w:lvlJc w:val="left"/>
      <w:pPr>
        <w:tabs>
          <w:tab w:val="num" w:pos="2880"/>
        </w:tabs>
        <w:ind w:left="2880" w:hanging="360"/>
      </w:pPr>
      <w:rPr>
        <w:rFonts w:ascii="Arial" w:hAnsi="Arial" w:hint="default"/>
      </w:rPr>
    </w:lvl>
    <w:lvl w:ilvl="4" w:tplc="390A96F2" w:tentative="1">
      <w:start w:val="1"/>
      <w:numFmt w:val="bullet"/>
      <w:lvlText w:val="•"/>
      <w:lvlJc w:val="left"/>
      <w:pPr>
        <w:tabs>
          <w:tab w:val="num" w:pos="3600"/>
        </w:tabs>
        <w:ind w:left="3600" w:hanging="360"/>
      </w:pPr>
      <w:rPr>
        <w:rFonts w:ascii="Arial" w:hAnsi="Arial" w:hint="default"/>
      </w:rPr>
    </w:lvl>
    <w:lvl w:ilvl="5" w:tplc="28802EEE" w:tentative="1">
      <w:start w:val="1"/>
      <w:numFmt w:val="bullet"/>
      <w:lvlText w:val="•"/>
      <w:lvlJc w:val="left"/>
      <w:pPr>
        <w:tabs>
          <w:tab w:val="num" w:pos="4320"/>
        </w:tabs>
        <w:ind w:left="4320" w:hanging="360"/>
      </w:pPr>
      <w:rPr>
        <w:rFonts w:ascii="Arial" w:hAnsi="Arial" w:hint="default"/>
      </w:rPr>
    </w:lvl>
    <w:lvl w:ilvl="6" w:tplc="E0E0AD06" w:tentative="1">
      <w:start w:val="1"/>
      <w:numFmt w:val="bullet"/>
      <w:lvlText w:val="•"/>
      <w:lvlJc w:val="left"/>
      <w:pPr>
        <w:tabs>
          <w:tab w:val="num" w:pos="5040"/>
        </w:tabs>
        <w:ind w:left="5040" w:hanging="360"/>
      </w:pPr>
      <w:rPr>
        <w:rFonts w:ascii="Arial" w:hAnsi="Arial" w:hint="default"/>
      </w:rPr>
    </w:lvl>
    <w:lvl w:ilvl="7" w:tplc="4712F58E" w:tentative="1">
      <w:start w:val="1"/>
      <w:numFmt w:val="bullet"/>
      <w:lvlText w:val="•"/>
      <w:lvlJc w:val="left"/>
      <w:pPr>
        <w:tabs>
          <w:tab w:val="num" w:pos="5760"/>
        </w:tabs>
        <w:ind w:left="5760" w:hanging="360"/>
      </w:pPr>
      <w:rPr>
        <w:rFonts w:ascii="Arial" w:hAnsi="Arial" w:hint="default"/>
      </w:rPr>
    </w:lvl>
    <w:lvl w:ilvl="8" w:tplc="ECC600E8"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70A656B4"/>
    <w:multiLevelType w:val="hybridMultilevel"/>
    <w:tmpl w:val="119017E8"/>
    <w:lvl w:ilvl="0" w:tplc="A6C6A284">
      <w:start w:val="1"/>
      <w:numFmt w:val="bullet"/>
      <w:lvlText w:val="•"/>
      <w:lvlJc w:val="left"/>
      <w:pPr>
        <w:tabs>
          <w:tab w:val="num" w:pos="720"/>
        </w:tabs>
        <w:ind w:left="720" w:hanging="360"/>
      </w:pPr>
      <w:rPr>
        <w:rFonts w:ascii="Arial" w:hAnsi="Arial" w:hint="default"/>
      </w:rPr>
    </w:lvl>
    <w:lvl w:ilvl="1" w:tplc="1AAA355A" w:tentative="1">
      <w:start w:val="1"/>
      <w:numFmt w:val="bullet"/>
      <w:lvlText w:val="•"/>
      <w:lvlJc w:val="left"/>
      <w:pPr>
        <w:tabs>
          <w:tab w:val="num" w:pos="1440"/>
        </w:tabs>
        <w:ind w:left="1440" w:hanging="360"/>
      </w:pPr>
      <w:rPr>
        <w:rFonts w:ascii="Arial" w:hAnsi="Arial" w:hint="default"/>
      </w:rPr>
    </w:lvl>
    <w:lvl w:ilvl="2" w:tplc="0DC0CB88" w:tentative="1">
      <w:start w:val="1"/>
      <w:numFmt w:val="bullet"/>
      <w:lvlText w:val="•"/>
      <w:lvlJc w:val="left"/>
      <w:pPr>
        <w:tabs>
          <w:tab w:val="num" w:pos="2160"/>
        </w:tabs>
        <w:ind w:left="2160" w:hanging="360"/>
      </w:pPr>
      <w:rPr>
        <w:rFonts w:ascii="Arial" w:hAnsi="Arial" w:hint="default"/>
      </w:rPr>
    </w:lvl>
    <w:lvl w:ilvl="3" w:tplc="AA9834D6" w:tentative="1">
      <w:start w:val="1"/>
      <w:numFmt w:val="bullet"/>
      <w:lvlText w:val="•"/>
      <w:lvlJc w:val="left"/>
      <w:pPr>
        <w:tabs>
          <w:tab w:val="num" w:pos="2880"/>
        </w:tabs>
        <w:ind w:left="2880" w:hanging="360"/>
      </w:pPr>
      <w:rPr>
        <w:rFonts w:ascii="Arial" w:hAnsi="Arial" w:hint="default"/>
      </w:rPr>
    </w:lvl>
    <w:lvl w:ilvl="4" w:tplc="587641AA" w:tentative="1">
      <w:start w:val="1"/>
      <w:numFmt w:val="bullet"/>
      <w:lvlText w:val="•"/>
      <w:lvlJc w:val="left"/>
      <w:pPr>
        <w:tabs>
          <w:tab w:val="num" w:pos="3600"/>
        </w:tabs>
        <w:ind w:left="3600" w:hanging="360"/>
      </w:pPr>
      <w:rPr>
        <w:rFonts w:ascii="Arial" w:hAnsi="Arial" w:hint="default"/>
      </w:rPr>
    </w:lvl>
    <w:lvl w:ilvl="5" w:tplc="6E7C2AD8" w:tentative="1">
      <w:start w:val="1"/>
      <w:numFmt w:val="bullet"/>
      <w:lvlText w:val="•"/>
      <w:lvlJc w:val="left"/>
      <w:pPr>
        <w:tabs>
          <w:tab w:val="num" w:pos="4320"/>
        </w:tabs>
        <w:ind w:left="4320" w:hanging="360"/>
      </w:pPr>
      <w:rPr>
        <w:rFonts w:ascii="Arial" w:hAnsi="Arial" w:hint="default"/>
      </w:rPr>
    </w:lvl>
    <w:lvl w:ilvl="6" w:tplc="00DE916E" w:tentative="1">
      <w:start w:val="1"/>
      <w:numFmt w:val="bullet"/>
      <w:lvlText w:val="•"/>
      <w:lvlJc w:val="left"/>
      <w:pPr>
        <w:tabs>
          <w:tab w:val="num" w:pos="5040"/>
        </w:tabs>
        <w:ind w:left="5040" w:hanging="360"/>
      </w:pPr>
      <w:rPr>
        <w:rFonts w:ascii="Arial" w:hAnsi="Arial" w:hint="default"/>
      </w:rPr>
    </w:lvl>
    <w:lvl w:ilvl="7" w:tplc="C3DC5DB4" w:tentative="1">
      <w:start w:val="1"/>
      <w:numFmt w:val="bullet"/>
      <w:lvlText w:val="•"/>
      <w:lvlJc w:val="left"/>
      <w:pPr>
        <w:tabs>
          <w:tab w:val="num" w:pos="5760"/>
        </w:tabs>
        <w:ind w:left="5760" w:hanging="360"/>
      </w:pPr>
      <w:rPr>
        <w:rFonts w:ascii="Arial" w:hAnsi="Arial" w:hint="default"/>
      </w:rPr>
    </w:lvl>
    <w:lvl w:ilvl="8" w:tplc="14F8B37C"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710524DD"/>
    <w:multiLevelType w:val="hybridMultilevel"/>
    <w:tmpl w:val="FB30F8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17320C5"/>
    <w:multiLevelType w:val="hybridMultilevel"/>
    <w:tmpl w:val="FF6C6248"/>
    <w:lvl w:ilvl="0" w:tplc="D2D84D90">
      <w:start w:val="1"/>
      <w:numFmt w:val="decimal"/>
      <w:lvlText w:val="(%1)"/>
      <w:lvlJc w:val="left"/>
      <w:pPr>
        <w:ind w:left="792" w:hanging="432"/>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D7700ED"/>
    <w:multiLevelType w:val="hybridMultilevel"/>
    <w:tmpl w:val="5600AA10"/>
    <w:lvl w:ilvl="0" w:tplc="A906EC2C">
      <w:start w:val="1"/>
      <w:numFmt w:val="bullet"/>
      <w:lvlText w:val="•"/>
      <w:lvlJc w:val="left"/>
      <w:pPr>
        <w:tabs>
          <w:tab w:val="num" w:pos="720"/>
        </w:tabs>
        <w:ind w:left="720" w:hanging="360"/>
      </w:pPr>
      <w:rPr>
        <w:rFonts w:ascii="Arial" w:hAnsi="Arial" w:hint="default"/>
      </w:rPr>
    </w:lvl>
    <w:lvl w:ilvl="1" w:tplc="1452EEDE" w:tentative="1">
      <w:start w:val="1"/>
      <w:numFmt w:val="bullet"/>
      <w:lvlText w:val="•"/>
      <w:lvlJc w:val="left"/>
      <w:pPr>
        <w:tabs>
          <w:tab w:val="num" w:pos="1440"/>
        </w:tabs>
        <w:ind w:left="1440" w:hanging="360"/>
      </w:pPr>
      <w:rPr>
        <w:rFonts w:ascii="Arial" w:hAnsi="Arial" w:hint="default"/>
      </w:rPr>
    </w:lvl>
    <w:lvl w:ilvl="2" w:tplc="47D648D0" w:tentative="1">
      <w:start w:val="1"/>
      <w:numFmt w:val="bullet"/>
      <w:lvlText w:val="•"/>
      <w:lvlJc w:val="left"/>
      <w:pPr>
        <w:tabs>
          <w:tab w:val="num" w:pos="2160"/>
        </w:tabs>
        <w:ind w:left="2160" w:hanging="360"/>
      </w:pPr>
      <w:rPr>
        <w:rFonts w:ascii="Arial" w:hAnsi="Arial" w:hint="default"/>
      </w:rPr>
    </w:lvl>
    <w:lvl w:ilvl="3" w:tplc="DE5AA7F8" w:tentative="1">
      <w:start w:val="1"/>
      <w:numFmt w:val="bullet"/>
      <w:lvlText w:val="•"/>
      <w:lvlJc w:val="left"/>
      <w:pPr>
        <w:tabs>
          <w:tab w:val="num" w:pos="2880"/>
        </w:tabs>
        <w:ind w:left="2880" w:hanging="360"/>
      </w:pPr>
      <w:rPr>
        <w:rFonts w:ascii="Arial" w:hAnsi="Arial" w:hint="default"/>
      </w:rPr>
    </w:lvl>
    <w:lvl w:ilvl="4" w:tplc="64C4183A" w:tentative="1">
      <w:start w:val="1"/>
      <w:numFmt w:val="bullet"/>
      <w:lvlText w:val="•"/>
      <w:lvlJc w:val="left"/>
      <w:pPr>
        <w:tabs>
          <w:tab w:val="num" w:pos="3600"/>
        </w:tabs>
        <w:ind w:left="3600" w:hanging="360"/>
      </w:pPr>
      <w:rPr>
        <w:rFonts w:ascii="Arial" w:hAnsi="Arial" w:hint="default"/>
      </w:rPr>
    </w:lvl>
    <w:lvl w:ilvl="5" w:tplc="DA50CB28" w:tentative="1">
      <w:start w:val="1"/>
      <w:numFmt w:val="bullet"/>
      <w:lvlText w:val="•"/>
      <w:lvlJc w:val="left"/>
      <w:pPr>
        <w:tabs>
          <w:tab w:val="num" w:pos="4320"/>
        </w:tabs>
        <w:ind w:left="4320" w:hanging="360"/>
      </w:pPr>
      <w:rPr>
        <w:rFonts w:ascii="Arial" w:hAnsi="Arial" w:hint="default"/>
      </w:rPr>
    </w:lvl>
    <w:lvl w:ilvl="6" w:tplc="42F2C746" w:tentative="1">
      <w:start w:val="1"/>
      <w:numFmt w:val="bullet"/>
      <w:lvlText w:val="•"/>
      <w:lvlJc w:val="left"/>
      <w:pPr>
        <w:tabs>
          <w:tab w:val="num" w:pos="5040"/>
        </w:tabs>
        <w:ind w:left="5040" w:hanging="360"/>
      </w:pPr>
      <w:rPr>
        <w:rFonts w:ascii="Arial" w:hAnsi="Arial" w:hint="default"/>
      </w:rPr>
    </w:lvl>
    <w:lvl w:ilvl="7" w:tplc="6CA691F8" w:tentative="1">
      <w:start w:val="1"/>
      <w:numFmt w:val="bullet"/>
      <w:lvlText w:val="•"/>
      <w:lvlJc w:val="left"/>
      <w:pPr>
        <w:tabs>
          <w:tab w:val="num" w:pos="5760"/>
        </w:tabs>
        <w:ind w:left="5760" w:hanging="360"/>
      </w:pPr>
      <w:rPr>
        <w:rFonts w:ascii="Arial" w:hAnsi="Arial" w:hint="default"/>
      </w:rPr>
    </w:lvl>
    <w:lvl w:ilvl="8" w:tplc="5C22E1E4"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15"/>
  </w:num>
  <w:num w:numId="3">
    <w:abstractNumId w:val="12"/>
  </w:num>
  <w:num w:numId="4">
    <w:abstractNumId w:val="1"/>
  </w:num>
  <w:num w:numId="5">
    <w:abstractNumId w:val="9"/>
  </w:num>
  <w:num w:numId="6">
    <w:abstractNumId w:val="11"/>
  </w:num>
  <w:num w:numId="7">
    <w:abstractNumId w:val="8"/>
  </w:num>
  <w:num w:numId="8">
    <w:abstractNumId w:val="13"/>
  </w:num>
  <w:num w:numId="9">
    <w:abstractNumId w:val="7"/>
  </w:num>
  <w:num w:numId="10">
    <w:abstractNumId w:val="3"/>
  </w:num>
  <w:num w:numId="11">
    <w:abstractNumId w:val="10"/>
  </w:num>
  <w:num w:numId="12">
    <w:abstractNumId w:val="2"/>
  </w:num>
  <w:num w:numId="13">
    <w:abstractNumId w:val="6"/>
  </w:num>
  <w:num w:numId="14">
    <w:abstractNumId w:val="5"/>
  </w:num>
  <w:num w:numId="15">
    <w:abstractNumId w:val="4"/>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218"/>
    <w:rsid w:val="0004034B"/>
    <w:rsid w:val="00055D84"/>
    <w:rsid w:val="00055EFB"/>
    <w:rsid w:val="00061276"/>
    <w:rsid w:val="0007076B"/>
    <w:rsid w:val="0007448F"/>
    <w:rsid w:val="00077CA3"/>
    <w:rsid w:val="000813BC"/>
    <w:rsid w:val="00084BAC"/>
    <w:rsid w:val="00095D59"/>
    <w:rsid w:val="000A75E3"/>
    <w:rsid w:val="000B7B97"/>
    <w:rsid w:val="000F3468"/>
    <w:rsid w:val="001117EB"/>
    <w:rsid w:val="001129D8"/>
    <w:rsid w:val="00125BB8"/>
    <w:rsid w:val="0012719E"/>
    <w:rsid w:val="00130AED"/>
    <w:rsid w:val="00133217"/>
    <w:rsid w:val="00141EDA"/>
    <w:rsid w:val="00155C86"/>
    <w:rsid w:val="00166B92"/>
    <w:rsid w:val="001912B6"/>
    <w:rsid w:val="001C33FE"/>
    <w:rsid w:val="001D4687"/>
    <w:rsid w:val="001F53AD"/>
    <w:rsid w:val="001F54E1"/>
    <w:rsid w:val="00210600"/>
    <w:rsid w:val="002329FA"/>
    <w:rsid w:val="00284218"/>
    <w:rsid w:val="002D36E6"/>
    <w:rsid w:val="0030440D"/>
    <w:rsid w:val="00305932"/>
    <w:rsid w:val="003155F4"/>
    <w:rsid w:val="00317048"/>
    <w:rsid w:val="00327E42"/>
    <w:rsid w:val="00357723"/>
    <w:rsid w:val="00366F27"/>
    <w:rsid w:val="00374817"/>
    <w:rsid w:val="003772F0"/>
    <w:rsid w:val="003812E8"/>
    <w:rsid w:val="003A3272"/>
    <w:rsid w:val="003B3CF0"/>
    <w:rsid w:val="003E4E7A"/>
    <w:rsid w:val="00412629"/>
    <w:rsid w:val="004211DB"/>
    <w:rsid w:val="004579E8"/>
    <w:rsid w:val="00465A6B"/>
    <w:rsid w:val="0049107A"/>
    <w:rsid w:val="004B28FD"/>
    <w:rsid w:val="00505AB0"/>
    <w:rsid w:val="00516798"/>
    <w:rsid w:val="00527215"/>
    <w:rsid w:val="0055421F"/>
    <w:rsid w:val="005919EF"/>
    <w:rsid w:val="00592C85"/>
    <w:rsid w:val="005B6B8B"/>
    <w:rsid w:val="00606244"/>
    <w:rsid w:val="006063CA"/>
    <w:rsid w:val="00634585"/>
    <w:rsid w:val="00636A22"/>
    <w:rsid w:val="006422B9"/>
    <w:rsid w:val="006541B9"/>
    <w:rsid w:val="00654F74"/>
    <w:rsid w:val="0068041B"/>
    <w:rsid w:val="006821EE"/>
    <w:rsid w:val="006A5875"/>
    <w:rsid w:val="006D5588"/>
    <w:rsid w:val="006E1946"/>
    <w:rsid w:val="00724F89"/>
    <w:rsid w:val="00761F5F"/>
    <w:rsid w:val="00797740"/>
    <w:rsid w:val="007B75F3"/>
    <w:rsid w:val="00804800"/>
    <w:rsid w:val="008363BE"/>
    <w:rsid w:val="00853F42"/>
    <w:rsid w:val="00861CF8"/>
    <w:rsid w:val="00873FD1"/>
    <w:rsid w:val="00892778"/>
    <w:rsid w:val="00896292"/>
    <w:rsid w:val="008970EC"/>
    <w:rsid w:val="008E04D4"/>
    <w:rsid w:val="009056F6"/>
    <w:rsid w:val="00905A4B"/>
    <w:rsid w:val="00937D6F"/>
    <w:rsid w:val="00940EC8"/>
    <w:rsid w:val="0094509A"/>
    <w:rsid w:val="0096015B"/>
    <w:rsid w:val="0096713C"/>
    <w:rsid w:val="0099233F"/>
    <w:rsid w:val="009A5709"/>
    <w:rsid w:val="009F4C2E"/>
    <w:rsid w:val="00A00A47"/>
    <w:rsid w:val="00A03A26"/>
    <w:rsid w:val="00A2580F"/>
    <w:rsid w:val="00A31794"/>
    <w:rsid w:val="00A34672"/>
    <w:rsid w:val="00A442EB"/>
    <w:rsid w:val="00A60221"/>
    <w:rsid w:val="00A81988"/>
    <w:rsid w:val="00A86094"/>
    <w:rsid w:val="00A9177F"/>
    <w:rsid w:val="00AA2A74"/>
    <w:rsid w:val="00AD2186"/>
    <w:rsid w:val="00AE4BA6"/>
    <w:rsid w:val="00B83BA6"/>
    <w:rsid w:val="00B91B76"/>
    <w:rsid w:val="00B96E3D"/>
    <w:rsid w:val="00BA290A"/>
    <w:rsid w:val="00BC4173"/>
    <w:rsid w:val="00BD7CAC"/>
    <w:rsid w:val="00BF2AA4"/>
    <w:rsid w:val="00BF57E5"/>
    <w:rsid w:val="00C076BF"/>
    <w:rsid w:val="00C474CD"/>
    <w:rsid w:val="00C92381"/>
    <w:rsid w:val="00CA6DED"/>
    <w:rsid w:val="00CF09C5"/>
    <w:rsid w:val="00CF0F99"/>
    <w:rsid w:val="00D47039"/>
    <w:rsid w:val="00DB25DF"/>
    <w:rsid w:val="00DD14D5"/>
    <w:rsid w:val="00E87F8D"/>
    <w:rsid w:val="00E929A6"/>
    <w:rsid w:val="00EA71A3"/>
    <w:rsid w:val="00EB3D53"/>
    <w:rsid w:val="00EB5BAA"/>
    <w:rsid w:val="00EC6FDD"/>
    <w:rsid w:val="00EE59BC"/>
    <w:rsid w:val="00EF128B"/>
    <w:rsid w:val="00F525F0"/>
    <w:rsid w:val="00F5262D"/>
    <w:rsid w:val="00F54A5D"/>
    <w:rsid w:val="00F73029"/>
    <w:rsid w:val="00FA5532"/>
    <w:rsid w:val="00FB1FB7"/>
    <w:rsid w:val="00FD781F"/>
    <w:rsid w:val="00FE0109"/>
    <w:rsid w:val="00FE0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45CCDD"/>
  <w15:docId w15:val="{EFDA330B-691C-4B58-932F-B2BE764B0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00A47"/>
    <w:pPr>
      <w:ind w:left="720"/>
      <w:contextualSpacing/>
    </w:pPr>
  </w:style>
  <w:style w:type="paragraph" w:customStyle="1" w:styleId="Subheading2">
    <w:name w:val="Subheading2"/>
    <w:qFormat/>
    <w:rsid w:val="00516798"/>
    <w:pPr>
      <w:spacing w:before="240" w:after="60" w:line="240" w:lineRule="auto"/>
    </w:pPr>
    <w:rPr>
      <w:rFonts w:ascii="Arial" w:eastAsia="SimSun" w:hAnsi="Arial" w:cs="Times New Roman"/>
      <w:b/>
      <w:color w:val="EEECE1" w:themeColor="background2"/>
      <w:sz w:val="24"/>
      <w:szCs w:val="24"/>
      <w:lang w:val="en-US"/>
    </w:rPr>
  </w:style>
  <w:style w:type="paragraph" w:customStyle="1" w:styleId="Bullet">
    <w:name w:val="Bullet"/>
    <w:basedOn w:val="Normal"/>
    <w:qFormat/>
    <w:rsid w:val="00516798"/>
    <w:pPr>
      <w:numPr>
        <w:numId w:val="9"/>
      </w:numPr>
      <w:spacing w:before="40" w:after="40" w:line="240" w:lineRule="auto"/>
      <w:ind w:right="397"/>
    </w:pPr>
    <w:rPr>
      <w:rFonts w:ascii="Arial" w:eastAsia="SimSun" w:hAnsi="Arial" w:cs="Times New Roman"/>
      <w:color w:val="424141"/>
      <w:szCs w:val="18"/>
    </w:rPr>
  </w:style>
  <w:style w:type="paragraph" w:styleId="BalloonText">
    <w:name w:val="Balloon Text"/>
    <w:basedOn w:val="Normal"/>
    <w:link w:val="BalloonTextChar"/>
    <w:uiPriority w:val="99"/>
    <w:semiHidden/>
    <w:unhideWhenUsed/>
    <w:rsid w:val="00DB25D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B25DF"/>
    <w:rPr>
      <w:rFonts w:ascii="Tahoma" w:hAnsi="Tahoma" w:cs="Tahoma"/>
      <w:sz w:val="16"/>
      <w:szCs w:val="16"/>
    </w:rPr>
  </w:style>
  <w:style w:type="character" w:styleId="CommentReference">
    <w:name w:val="annotation reference"/>
    <w:basedOn w:val="DefaultParagraphFont"/>
    <w:uiPriority w:val="99"/>
    <w:semiHidden/>
    <w:unhideWhenUsed/>
    <w:rsid w:val="00F54A5D"/>
    <w:rPr>
      <w:sz w:val="16"/>
      <w:szCs w:val="16"/>
    </w:rPr>
  </w:style>
  <w:style w:type="paragraph" w:styleId="CommentText">
    <w:name w:val="annotation text"/>
    <w:basedOn w:val="Normal"/>
    <w:link w:val="CommentTextChar"/>
    <w:uiPriority w:val="99"/>
    <w:semiHidden/>
    <w:unhideWhenUsed/>
    <w:rsid w:val="00F54A5D"/>
    <w:pPr>
      <w:spacing w:line="240" w:lineRule="auto"/>
    </w:pPr>
    <w:rPr>
      <w:sz w:val="20"/>
      <w:szCs w:val="20"/>
    </w:rPr>
  </w:style>
  <w:style w:type="character" w:customStyle="1" w:styleId="CommentTextChar">
    <w:name w:val="Comment Text Char"/>
    <w:basedOn w:val="DefaultParagraphFont"/>
    <w:link w:val="CommentText"/>
    <w:uiPriority w:val="99"/>
    <w:semiHidden/>
    <w:rsid w:val="00F54A5D"/>
    <w:rPr>
      <w:sz w:val="20"/>
      <w:szCs w:val="20"/>
    </w:rPr>
  </w:style>
  <w:style w:type="paragraph" w:styleId="CommentSubject">
    <w:name w:val="annotation subject"/>
    <w:basedOn w:val="CommentText"/>
    <w:next w:val="CommentText"/>
    <w:link w:val="CommentSubjectChar"/>
    <w:uiPriority w:val="99"/>
    <w:semiHidden/>
    <w:unhideWhenUsed/>
    <w:rsid w:val="00F54A5D"/>
    <w:rPr>
      <w:b/>
      <w:bCs/>
    </w:rPr>
  </w:style>
  <w:style w:type="character" w:customStyle="1" w:styleId="CommentSubjectChar">
    <w:name w:val="Comment Subject Char"/>
    <w:basedOn w:val="CommentTextChar"/>
    <w:link w:val="CommentSubject"/>
    <w:uiPriority w:val="99"/>
    <w:semiHidden/>
    <w:rsid w:val="00F54A5D"/>
    <w:rPr>
      <w:b/>
      <w:bCs/>
      <w:sz w:val="20"/>
      <w:szCs w:val="20"/>
    </w:rPr>
  </w:style>
  <w:style w:type="paragraph" w:styleId="Revision">
    <w:name w:val="Revision"/>
    <w:hidden/>
    <w:uiPriority w:val="99"/>
    <w:semiHidden/>
    <w:rsid w:val="00FE0F6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6087422">
      <w:bodyDiv w:val="1"/>
      <w:marLeft w:val="0"/>
      <w:marRight w:val="0"/>
      <w:marTop w:val="0"/>
      <w:marBottom w:val="0"/>
      <w:divBdr>
        <w:top w:val="none" w:sz="0" w:space="0" w:color="auto"/>
        <w:left w:val="none" w:sz="0" w:space="0" w:color="auto"/>
        <w:bottom w:val="none" w:sz="0" w:space="0" w:color="auto"/>
        <w:right w:val="none" w:sz="0" w:space="0" w:color="auto"/>
      </w:divBdr>
      <w:divsChild>
        <w:div w:id="75828288">
          <w:marLeft w:val="547"/>
          <w:marRight w:val="0"/>
          <w:marTop w:val="120"/>
          <w:marBottom w:val="0"/>
          <w:divBdr>
            <w:top w:val="none" w:sz="0" w:space="0" w:color="auto"/>
            <w:left w:val="none" w:sz="0" w:space="0" w:color="auto"/>
            <w:bottom w:val="none" w:sz="0" w:space="0" w:color="auto"/>
            <w:right w:val="none" w:sz="0" w:space="0" w:color="auto"/>
          </w:divBdr>
        </w:div>
        <w:div w:id="804390629">
          <w:marLeft w:val="547"/>
          <w:marRight w:val="0"/>
          <w:marTop w:val="115"/>
          <w:marBottom w:val="0"/>
          <w:divBdr>
            <w:top w:val="none" w:sz="0" w:space="0" w:color="auto"/>
            <w:left w:val="none" w:sz="0" w:space="0" w:color="auto"/>
            <w:bottom w:val="none" w:sz="0" w:space="0" w:color="auto"/>
            <w:right w:val="none" w:sz="0" w:space="0" w:color="auto"/>
          </w:divBdr>
        </w:div>
        <w:div w:id="912547237">
          <w:marLeft w:val="547"/>
          <w:marRight w:val="0"/>
          <w:marTop w:val="120"/>
          <w:marBottom w:val="0"/>
          <w:divBdr>
            <w:top w:val="none" w:sz="0" w:space="0" w:color="auto"/>
            <w:left w:val="none" w:sz="0" w:space="0" w:color="auto"/>
            <w:bottom w:val="none" w:sz="0" w:space="0" w:color="auto"/>
            <w:right w:val="none" w:sz="0" w:space="0" w:color="auto"/>
          </w:divBdr>
        </w:div>
        <w:div w:id="1028023511">
          <w:marLeft w:val="547"/>
          <w:marRight w:val="0"/>
          <w:marTop w:val="120"/>
          <w:marBottom w:val="0"/>
          <w:divBdr>
            <w:top w:val="none" w:sz="0" w:space="0" w:color="auto"/>
            <w:left w:val="none" w:sz="0" w:space="0" w:color="auto"/>
            <w:bottom w:val="none" w:sz="0" w:space="0" w:color="auto"/>
            <w:right w:val="none" w:sz="0" w:space="0" w:color="auto"/>
          </w:divBdr>
        </w:div>
        <w:div w:id="1408310765">
          <w:marLeft w:val="547"/>
          <w:marRight w:val="0"/>
          <w:marTop w:val="120"/>
          <w:marBottom w:val="0"/>
          <w:divBdr>
            <w:top w:val="none" w:sz="0" w:space="0" w:color="auto"/>
            <w:left w:val="none" w:sz="0" w:space="0" w:color="auto"/>
            <w:bottom w:val="none" w:sz="0" w:space="0" w:color="auto"/>
            <w:right w:val="none" w:sz="0" w:space="0" w:color="auto"/>
          </w:divBdr>
        </w:div>
        <w:div w:id="2042241071">
          <w:marLeft w:val="547"/>
          <w:marRight w:val="0"/>
          <w:marTop w:val="120"/>
          <w:marBottom w:val="0"/>
          <w:divBdr>
            <w:top w:val="none" w:sz="0" w:space="0" w:color="auto"/>
            <w:left w:val="none" w:sz="0" w:space="0" w:color="auto"/>
            <w:bottom w:val="none" w:sz="0" w:space="0" w:color="auto"/>
            <w:right w:val="none" w:sz="0" w:space="0" w:color="auto"/>
          </w:divBdr>
        </w:div>
      </w:divsChild>
    </w:div>
    <w:div w:id="237517899">
      <w:bodyDiv w:val="1"/>
      <w:marLeft w:val="0"/>
      <w:marRight w:val="0"/>
      <w:marTop w:val="0"/>
      <w:marBottom w:val="0"/>
      <w:divBdr>
        <w:top w:val="none" w:sz="0" w:space="0" w:color="auto"/>
        <w:left w:val="none" w:sz="0" w:space="0" w:color="auto"/>
        <w:bottom w:val="none" w:sz="0" w:space="0" w:color="auto"/>
        <w:right w:val="none" w:sz="0" w:space="0" w:color="auto"/>
      </w:divBdr>
      <w:divsChild>
        <w:div w:id="402264715">
          <w:marLeft w:val="1166"/>
          <w:marRight w:val="0"/>
          <w:marTop w:val="67"/>
          <w:marBottom w:val="0"/>
          <w:divBdr>
            <w:top w:val="none" w:sz="0" w:space="0" w:color="auto"/>
            <w:left w:val="none" w:sz="0" w:space="0" w:color="auto"/>
            <w:bottom w:val="none" w:sz="0" w:space="0" w:color="auto"/>
            <w:right w:val="none" w:sz="0" w:space="0" w:color="auto"/>
          </w:divBdr>
        </w:div>
        <w:div w:id="609320242">
          <w:marLeft w:val="547"/>
          <w:marRight w:val="0"/>
          <w:marTop w:val="86"/>
          <w:marBottom w:val="0"/>
          <w:divBdr>
            <w:top w:val="none" w:sz="0" w:space="0" w:color="auto"/>
            <w:left w:val="none" w:sz="0" w:space="0" w:color="auto"/>
            <w:bottom w:val="none" w:sz="0" w:space="0" w:color="auto"/>
            <w:right w:val="none" w:sz="0" w:space="0" w:color="auto"/>
          </w:divBdr>
        </w:div>
        <w:div w:id="1124469188">
          <w:marLeft w:val="547"/>
          <w:marRight w:val="0"/>
          <w:marTop w:val="86"/>
          <w:marBottom w:val="0"/>
          <w:divBdr>
            <w:top w:val="none" w:sz="0" w:space="0" w:color="auto"/>
            <w:left w:val="none" w:sz="0" w:space="0" w:color="auto"/>
            <w:bottom w:val="none" w:sz="0" w:space="0" w:color="auto"/>
            <w:right w:val="none" w:sz="0" w:space="0" w:color="auto"/>
          </w:divBdr>
        </w:div>
        <w:div w:id="1156066653">
          <w:marLeft w:val="1166"/>
          <w:marRight w:val="0"/>
          <w:marTop w:val="67"/>
          <w:marBottom w:val="0"/>
          <w:divBdr>
            <w:top w:val="none" w:sz="0" w:space="0" w:color="auto"/>
            <w:left w:val="none" w:sz="0" w:space="0" w:color="auto"/>
            <w:bottom w:val="none" w:sz="0" w:space="0" w:color="auto"/>
            <w:right w:val="none" w:sz="0" w:space="0" w:color="auto"/>
          </w:divBdr>
        </w:div>
        <w:div w:id="1789618661">
          <w:marLeft w:val="1166"/>
          <w:marRight w:val="0"/>
          <w:marTop w:val="67"/>
          <w:marBottom w:val="0"/>
          <w:divBdr>
            <w:top w:val="none" w:sz="0" w:space="0" w:color="auto"/>
            <w:left w:val="none" w:sz="0" w:space="0" w:color="auto"/>
            <w:bottom w:val="none" w:sz="0" w:space="0" w:color="auto"/>
            <w:right w:val="none" w:sz="0" w:space="0" w:color="auto"/>
          </w:divBdr>
        </w:div>
        <w:div w:id="1873956718">
          <w:marLeft w:val="1166"/>
          <w:marRight w:val="0"/>
          <w:marTop w:val="67"/>
          <w:marBottom w:val="0"/>
          <w:divBdr>
            <w:top w:val="none" w:sz="0" w:space="0" w:color="auto"/>
            <w:left w:val="none" w:sz="0" w:space="0" w:color="auto"/>
            <w:bottom w:val="none" w:sz="0" w:space="0" w:color="auto"/>
            <w:right w:val="none" w:sz="0" w:space="0" w:color="auto"/>
          </w:divBdr>
        </w:div>
        <w:div w:id="2084569324">
          <w:marLeft w:val="1166"/>
          <w:marRight w:val="0"/>
          <w:marTop w:val="67"/>
          <w:marBottom w:val="0"/>
          <w:divBdr>
            <w:top w:val="none" w:sz="0" w:space="0" w:color="auto"/>
            <w:left w:val="none" w:sz="0" w:space="0" w:color="auto"/>
            <w:bottom w:val="none" w:sz="0" w:space="0" w:color="auto"/>
            <w:right w:val="none" w:sz="0" w:space="0" w:color="auto"/>
          </w:divBdr>
        </w:div>
        <w:div w:id="2119909019">
          <w:marLeft w:val="1166"/>
          <w:marRight w:val="0"/>
          <w:marTop w:val="67"/>
          <w:marBottom w:val="0"/>
          <w:divBdr>
            <w:top w:val="none" w:sz="0" w:space="0" w:color="auto"/>
            <w:left w:val="none" w:sz="0" w:space="0" w:color="auto"/>
            <w:bottom w:val="none" w:sz="0" w:space="0" w:color="auto"/>
            <w:right w:val="none" w:sz="0" w:space="0" w:color="auto"/>
          </w:divBdr>
        </w:div>
        <w:div w:id="2142919454">
          <w:marLeft w:val="1166"/>
          <w:marRight w:val="0"/>
          <w:marTop w:val="67"/>
          <w:marBottom w:val="0"/>
          <w:divBdr>
            <w:top w:val="none" w:sz="0" w:space="0" w:color="auto"/>
            <w:left w:val="none" w:sz="0" w:space="0" w:color="auto"/>
            <w:bottom w:val="none" w:sz="0" w:space="0" w:color="auto"/>
            <w:right w:val="none" w:sz="0" w:space="0" w:color="auto"/>
          </w:divBdr>
        </w:div>
      </w:divsChild>
    </w:div>
    <w:div w:id="1045568368">
      <w:bodyDiv w:val="1"/>
      <w:marLeft w:val="0"/>
      <w:marRight w:val="0"/>
      <w:marTop w:val="0"/>
      <w:marBottom w:val="0"/>
      <w:divBdr>
        <w:top w:val="none" w:sz="0" w:space="0" w:color="auto"/>
        <w:left w:val="none" w:sz="0" w:space="0" w:color="auto"/>
        <w:bottom w:val="none" w:sz="0" w:space="0" w:color="auto"/>
        <w:right w:val="none" w:sz="0" w:space="0" w:color="auto"/>
      </w:divBdr>
      <w:divsChild>
        <w:div w:id="58938953">
          <w:marLeft w:val="547"/>
          <w:marRight w:val="0"/>
          <w:marTop w:val="106"/>
          <w:marBottom w:val="0"/>
          <w:divBdr>
            <w:top w:val="none" w:sz="0" w:space="0" w:color="auto"/>
            <w:left w:val="none" w:sz="0" w:space="0" w:color="auto"/>
            <w:bottom w:val="none" w:sz="0" w:space="0" w:color="auto"/>
            <w:right w:val="none" w:sz="0" w:space="0" w:color="auto"/>
          </w:divBdr>
        </w:div>
        <w:div w:id="186528391">
          <w:marLeft w:val="547"/>
          <w:marRight w:val="0"/>
          <w:marTop w:val="106"/>
          <w:marBottom w:val="0"/>
          <w:divBdr>
            <w:top w:val="none" w:sz="0" w:space="0" w:color="auto"/>
            <w:left w:val="none" w:sz="0" w:space="0" w:color="auto"/>
            <w:bottom w:val="none" w:sz="0" w:space="0" w:color="auto"/>
            <w:right w:val="none" w:sz="0" w:space="0" w:color="auto"/>
          </w:divBdr>
        </w:div>
        <w:div w:id="195389322">
          <w:marLeft w:val="547"/>
          <w:marRight w:val="0"/>
          <w:marTop w:val="106"/>
          <w:marBottom w:val="0"/>
          <w:divBdr>
            <w:top w:val="none" w:sz="0" w:space="0" w:color="auto"/>
            <w:left w:val="none" w:sz="0" w:space="0" w:color="auto"/>
            <w:bottom w:val="none" w:sz="0" w:space="0" w:color="auto"/>
            <w:right w:val="none" w:sz="0" w:space="0" w:color="auto"/>
          </w:divBdr>
        </w:div>
        <w:div w:id="479734577">
          <w:marLeft w:val="547"/>
          <w:marRight w:val="0"/>
          <w:marTop w:val="106"/>
          <w:marBottom w:val="0"/>
          <w:divBdr>
            <w:top w:val="none" w:sz="0" w:space="0" w:color="auto"/>
            <w:left w:val="none" w:sz="0" w:space="0" w:color="auto"/>
            <w:bottom w:val="none" w:sz="0" w:space="0" w:color="auto"/>
            <w:right w:val="none" w:sz="0" w:space="0" w:color="auto"/>
          </w:divBdr>
        </w:div>
        <w:div w:id="951549800">
          <w:marLeft w:val="547"/>
          <w:marRight w:val="0"/>
          <w:marTop w:val="106"/>
          <w:marBottom w:val="0"/>
          <w:divBdr>
            <w:top w:val="none" w:sz="0" w:space="0" w:color="auto"/>
            <w:left w:val="none" w:sz="0" w:space="0" w:color="auto"/>
            <w:bottom w:val="none" w:sz="0" w:space="0" w:color="auto"/>
            <w:right w:val="none" w:sz="0" w:space="0" w:color="auto"/>
          </w:divBdr>
        </w:div>
        <w:div w:id="1672180038">
          <w:marLeft w:val="547"/>
          <w:marRight w:val="0"/>
          <w:marTop w:val="106"/>
          <w:marBottom w:val="0"/>
          <w:divBdr>
            <w:top w:val="none" w:sz="0" w:space="0" w:color="auto"/>
            <w:left w:val="none" w:sz="0" w:space="0" w:color="auto"/>
            <w:bottom w:val="none" w:sz="0" w:space="0" w:color="auto"/>
            <w:right w:val="none" w:sz="0" w:space="0" w:color="auto"/>
          </w:divBdr>
        </w:div>
      </w:divsChild>
    </w:div>
    <w:div w:id="1113329643">
      <w:bodyDiv w:val="1"/>
      <w:marLeft w:val="0"/>
      <w:marRight w:val="0"/>
      <w:marTop w:val="0"/>
      <w:marBottom w:val="0"/>
      <w:divBdr>
        <w:top w:val="none" w:sz="0" w:space="0" w:color="auto"/>
        <w:left w:val="none" w:sz="0" w:space="0" w:color="auto"/>
        <w:bottom w:val="none" w:sz="0" w:space="0" w:color="auto"/>
        <w:right w:val="none" w:sz="0" w:space="0" w:color="auto"/>
      </w:divBdr>
    </w:div>
    <w:div w:id="1126853434">
      <w:bodyDiv w:val="1"/>
      <w:marLeft w:val="0"/>
      <w:marRight w:val="0"/>
      <w:marTop w:val="0"/>
      <w:marBottom w:val="0"/>
      <w:divBdr>
        <w:top w:val="none" w:sz="0" w:space="0" w:color="auto"/>
        <w:left w:val="none" w:sz="0" w:space="0" w:color="auto"/>
        <w:bottom w:val="none" w:sz="0" w:space="0" w:color="auto"/>
        <w:right w:val="none" w:sz="0" w:space="0" w:color="auto"/>
      </w:divBdr>
      <w:divsChild>
        <w:div w:id="946427659">
          <w:marLeft w:val="547"/>
          <w:marRight w:val="0"/>
          <w:marTop w:val="72"/>
          <w:marBottom w:val="0"/>
          <w:divBdr>
            <w:top w:val="none" w:sz="0" w:space="0" w:color="auto"/>
            <w:left w:val="none" w:sz="0" w:space="0" w:color="auto"/>
            <w:bottom w:val="none" w:sz="0" w:space="0" w:color="auto"/>
            <w:right w:val="none" w:sz="0" w:space="0" w:color="auto"/>
          </w:divBdr>
        </w:div>
        <w:div w:id="1603026648">
          <w:marLeft w:val="1166"/>
          <w:marRight w:val="0"/>
          <w:marTop w:val="53"/>
          <w:marBottom w:val="0"/>
          <w:divBdr>
            <w:top w:val="none" w:sz="0" w:space="0" w:color="auto"/>
            <w:left w:val="none" w:sz="0" w:space="0" w:color="auto"/>
            <w:bottom w:val="none" w:sz="0" w:space="0" w:color="auto"/>
            <w:right w:val="none" w:sz="0" w:space="0" w:color="auto"/>
          </w:divBdr>
        </w:div>
        <w:div w:id="1860120425">
          <w:marLeft w:val="1166"/>
          <w:marRight w:val="0"/>
          <w:marTop w:val="53"/>
          <w:marBottom w:val="0"/>
          <w:divBdr>
            <w:top w:val="none" w:sz="0" w:space="0" w:color="auto"/>
            <w:left w:val="none" w:sz="0" w:space="0" w:color="auto"/>
            <w:bottom w:val="none" w:sz="0" w:space="0" w:color="auto"/>
            <w:right w:val="none" w:sz="0" w:space="0" w:color="auto"/>
          </w:divBdr>
        </w:div>
        <w:div w:id="1862084182">
          <w:marLeft w:val="547"/>
          <w:marRight w:val="0"/>
          <w:marTop w:val="72"/>
          <w:marBottom w:val="0"/>
          <w:divBdr>
            <w:top w:val="none" w:sz="0" w:space="0" w:color="auto"/>
            <w:left w:val="none" w:sz="0" w:space="0" w:color="auto"/>
            <w:bottom w:val="none" w:sz="0" w:space="0" w:color="auto"/>
            <w:right w:val="none" w:sz="0" w:space="0" w:color="auto"/>
          </w:divBdr>
        </w:div>
        <w:div w:id="1890142013">
          <w:marLeft w:val="547"/>
          <w:marRight w:val="0"/>
          <w:marTop w:val="72"/>
          <w:marBottom w:val="0"/>
          <w:divBdr>
            <w:top w:val="none" w:sz="0" w:space="0" w:color="auto"/>
            <w:left w:val="none" w:sz="0" w:space="0" w:color="auto"/>
            <w:bottom w:val="none" w:sz="0" w:space="0" w:color="auto"/>
            <w:right w:val="none" w:sz="0" w:space="0" w:color="auto"/>
          </w:divBdr>
        </w:div>
      </w:divsChild>
    </w:div>
    <w:div w:id="1570074047">
      <w:bodyDiv w:val="1"/>
      <w:marLeft w:val="0"/>
      <w:marRight w:val="0"/>
      <w:marTop w:val="0"/>
      <w:marBottom w:val="0"/>
      <w:divBdr>
        <w:top w:val="none" w:sz="0" w:space="0" w:color="auto"/>
        <w:left w:val="none" w:sz="0" w:space="0" w:color="auto"/>
        <w:bottom w:val="none" w:sz="0" w:space="0" w:color="auto"/>
        <w:right w:val="none" w:sz="0" w:space="0" w:color="auto"/>
      </w:divBdr>
      <w:divsChild>
        <w:div w:id="230582853">
          <w:marLeft w:val="547"/>
          <w:marRight w:val="0"/>
          <w:marTop w:val="120"/>
          <w:marBottom w:val="0"/>
          <w:divBdr>
            <w:top w:val="none" w:sz="0" w:space="0" w:color="auto"/>
            <w:left w:val="none" w:sz="0" w:space="0" w:color="auto"/>
            <w:bottom w:val="none" w:sz="0" w:space="0" w:color="auto"/>
            <w:right w:val="none" w:sz="0" w:space="0" w:color="auto"/>
          </w:divBdr>
        </w:div>
        <w:div w:id="358505982">
          <w:marLeft w:val="547"/>
          <w:marRight w:val="0"/>
          <w:marTop w:val="120"/>
          <w:marBottom w:val="0"/>
          <w:divBdr>
            <w:top w:val="none" w:sz="0" w:space="0" w:color="auto"/>
            <w:left w:val="none" w:sz="0" w:space="0" w:color="auto"/>
            <w:bottom w:val="none" w:sz="0" w:space="0" w:color="auto"/>
            <w:right w:val="none" w:sz="0" w:space="0" w:color="auto"/>
          </w:divBdr>
        </w:div>
        <w:div w:id="1264143233">
          <w:marLeft w:val="547"/>
          <w:marRight w:val="0"/>
          <w:marTop w:val="120"/>
          <w:marBottom w:val="0"/>
          <w:divBdr>
            <w:top w:val="none" w:sz="0" w:space="0" w:color="auto"/>
            <w:left w:val="none" w:sz="0" w:space="0" w:color="auto"/>
            <w:bottom w:val="none" w:sz="0" w:space="0" w:color="auto"/>
            <w:right w:val="none" w:sz="0" w:space="0" w:color="auto"/>
          </w:divBdr>
        </w:div>
        <w:div w:id="1896353332">
          <w:marLeft w:val="547"/>
          <w:marRight w:val="0"/>
          <w:marTop w:val="120"/>
          <w:marBottom w:val="0"/>
          <w:divBdr>
            <w:top w:val="none" w:sz="0" w:space="0" w:color="auto"/>
            <w:left w:val="none" w:sz="0" w:space="0" w:color="auto"/>
            <w:bottom w:val="none" w:sz="0" w:space="0" w:color="auto"/>
            <w:right w:val="none" w:sz="0" w:space="0" w:color="auto"/>
          </w:divBdr>
        </w:div>
      </w:divsChild>
    </w:div>
    <w:div w:id="1899433603">
      <w:bodyDiv w:val="1"/>
      <w:marLeft w:val="0"/>
      <w:marRight w:val="0"/>
      <w:marTop w:val="0"/>
      <w:marBottom w:val="0"/>
      <w:divBdr>
        <w:top w:val="none" w:sz="0" w:space="0" w:color="auto"/>
        <w:left w:val="none" w:sz="0" w:space="0" w:color="auto"/>
        <w:bottom w:val="none" w:sz="0" w:space="0" w:color="auto"/>
        <w:right w:val="none" w:sz="0" w:space="0" w:color="auto"/>
      </w:divBdr>
      <w:divsChild>
        <w:div w:id="179710421">
          <w:marLeft w:val="547"/>
          <w:marRight w:val="0"/>
          <w:marTop w:val="96"/>
          <w:marBottom w:val="0"/>
          <w:divBdr>
            <w:top w:val="none" w:sz="0" w:space="0" w:color="auto"/>
            <w:left w:val="none" w:sz="0" w:space="0" w:color="auto"/>
            <w:bottom w:val="none" w:sz="0" w:space="0" w:color="auto"/>
            <w:right w:val="none" w:sz="0" w:space="0" w:color="auto"/>
          </w:divBdr>
        </w:div>
        <w:div w:id="285891590">
          <w:marLeft w:val="547"/>
          <w:marRight w:val="0"/>
          <w:marTop w:val="96"/>
          <w:marBottom w:val="0"/>
          <w:divBdr>
            <w:top w:val="none" w:sz="0" w:space="0" w:color="auto"/>
            <w:left w:val="none" w:sz="0" w:space="0" w:color="auto"/>
            <w:bottom w:val="none" w:sz="0" w:space="0" w:color="auto"/>
            <w:right w:val="none" w:sz="0" w:space="0" w:color="auto"/>
          </w:divBdr>
        </w:div>
        <w:div w:id="557714816">
          <w:marLeft w:val="547"/>
          <w:marRight w:val="0"/>
          <w:marTop w:val="96"/>
          <w:marBottom w:val="0"/>
          <w:divBdr>
            <w:top w:val="none" w:sz="0" w:space="0" w:color="auto"/>
            <w:left w:val="none" w:sz="0" w:space="0" w:color="auto"/>
            <w:bottom w:val="none" w:sz="0" w:space="0" w:color="auto"/>
            <w:right w:val="none" w:sz="0" w:space="0" w:color="auto"/>
          </w:divBdr>
        </w:div>
        <w:div w:id="776677848">
          <w:marLeft w:val="547"/>
          <w:marRight w:val="0"/>
          <w:marTop w:val="96"/>
          <w:marBottom w:val="0"/>
          <w:divBdr>
            <w:top w:val="none" w:sz="0" w:space="0" w:color="auto"/>
            <w:left w:val="none" w:sz="0" w:space="0" w:color="auto"/>
            <w:bottom w:val="none" w:sz="0" w:space="0" w:color="auto"/>
            <w:right w:val="none" w:sz="0" w:space="0" w:color="auto"/>
          </w:divBdr>
        </w:div>
        <w:div w:id="802697087">
          <w:marLeft w:val="547"/>
          <w:marRight w:val="0"/>
          <w:marTop w:val="96"/>
          <w:marBottom w:val="0"/>
          <w:divBdr>
            <w:top w:val="none" w:sz="0" w:space="0" w:color="auto"/>
            <w:left w:val="none" w:sz="0" w:space="0" w:color="auto"/>
            <w:bottom w:val="none" w:sz="0" w:space="0" w:color="auto"/>
            <w:right w:val="none" w:sz="0" w:space="0" w:color="auto"/>
          </w:divBdr>
        </w:div>
        <w:div w:id="1053777315">
          <w:marLeft w:val="547"/>
          <w:marRight w:val="0"/>
          <w:marTop w:val="96"/>
          <w:marBottom w:val="0"/>
          <w:divBdr>
            <w:top w:val="none" w:sz="0" w:space="0" w:color="auto"/>
            <w:left w:val="none" w:sz="0" w:space="0" w:color="auto"/>
            <w:bottom w:val="none" w:sz="0" w:space="0" w:color="auto"/>
            <w:right w:val="none" w:sz="0" w:space="0" w:color="auto"/>
          </w:divBdr>
        </w:div>
        <w:div w:id="1537506260">
          <w:marLeft w:val="547"/>
          <w:marRight w:val="0"/>
          <w:marTop w:val="9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Flow_SignoffStatus xmlns="7a641c64-358b-4774-a48d-0ff369a0b306" xsi:nil="true"/>
    <Review_x0020_Date xmlns="7a641c64-358b-4774-a48d-0ff369a0b306" xsi:nil="true"/>
    <_ip_UnifiedCompliancePolicyProperties xmlns="http://schemas.microsoft.com/sharepoint/v3" xsi:nil="true"/>
    <TaxCatchAll xmlns="cccaf3ac-2de9-44d4-aa31-54302fceb5f7" xsi:nil="true"/>
    <lcf76f155ced4ddcb4097134ff3c332f xmlns="7a641c64-358b-4774-a48d-0ff369a0b30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D3E64826237E941848EA88AF3E6312B" ma:contentTypeVersion="40" ma:contentTypeDescription="Create a new document." ma:contentTypeScope="" ma:versionID="42c4b7b5a464b6592006c5e53d2e0f8d">
  <xsd:schema xmlns:xsd="http://www.w3.org/2001/XMLSchema" xmlns:xs="http://www.w3.org/2001/XMLSchema" xmlns:p="http://schemas.microsoft.com/office/2006/metadata/properties" xmlns:ns1="http://schemas.microsoft.com/sharepoint/v3" xmlns:ns2="1b27cdc1-400d-4805-bf48-8136a8f715a4" xmlns:ns3="296decaa-fca3-493c-9d99-8279456de818" xmlns:ns4="7a641c64-358b-4774-a48d-0ff369a0b306" xmlns:ns5="cccaf3ac-2de9-44d4-aa31-54302fceb5f7" targetNamespace="http://schemas.microsoft.com/office/2006/metadata/properties" ma:root="true" ma:fieldsID="de45247c5c8014e3e7a4deee2947a277" ns1:_="" ns2:_="" ns3:_="" ns4:_="" ns5:_="">
    <xsd:import namespace="http://schemas.microsoft.com/sharepoint/v3"/>
    <xsd:import namespace="1b27cdc1-400d-4805-bf48-8136a8f715a4"/>
    <xsd:import namespace="296decaa-fca3-493c-9d99-8279456de818"/>
    <xsd:import namespace="7a641c64-358b-4774-a48d-0ff369a0b306"/>
    <xsd:import namespace="cccaf3ac-2de9-44d4-aa31-54302fceb5f7"/>
    <xsd:element name="properties">
      <xsd:complexType>
        <xsd:sequence>
          <xsd:element name="documentManagement">
            <xsd:complexType>
              <xsd:all>
                <xsd:element ref="ns2:SharedWithUsers" minOccurs="0"/>
                <xsd:element ref="ns2:SharedWithDetails" minOccurs="0"/>
                <xsd:element ref="ns1:_ip_UnifiedCompliancePolicyProperties" minOccurs="0"/>
                <xsd:element ref="ns1:_ip_UnifiedCompliancePolicyUIAction" minOccurs="0"/>
                <xsd:element ref="ns3:SharedWithUsers" minOccurs="0"/>
                <xsd:element ref="ns3:SharedWithDetails" minOccurs="0"/>
                <xsd:element ref="ns4:MediaServiceDateTaken" minOccurs="0"/>
                <xsd:element ref="ns4:MediaLengthInSeconds" minOccurs="0"/>
                <xsd:element ref="ns4:Review_x0020_Date"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Flow_SignoffStatus" minOccurs="0"/>
                <xsd:element ref="ns4:lcf76f155ced4ddcb4097134ff3c332f" minOccurs="0"/>
                <xsd:element ref="ns5: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0" nillable="true" ma:displayName="Unified Compliance Policy Properties" ma:hidden="true" ma:internalName="_ip_UnifiedCompliancePolicyProperties">
      <xsd:simpleType>
        <xsd:restriction base="dms:Note"/>
      </xsd:simpleType>
    </xsd:element>
    <xsd:element name="_ip_UnifiedCompliancePolicyUIAction" ma:index="1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b27cdc1-400d-4805-bf48-8136a8f715a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96decaa-fca3-493c-9d99-8279456de81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0"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0"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a641c64-358b-4774-a48d-0ff369a0b306" elementFormDefault="qualified">
    <xsd:import namespace="http://schemas.microsoft.com/office/2006/documentManagement/types"/>
    <xsd:import namespace="http://schemas.microsoft.com/office/infopath/2007/PartnerControls"/>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Length (seconds)" ma:internalName="MediaLengthInSeconds" ma:readOnly="true">
      <xsd:simpleType>
        <xsd:restriction base="dms:Unknown"/>
      </xsd:simpleType>
    </xsd:element>
    <xsd:element name="Review_x0020_Date" ma:index="16" nillable="true" ma:displayName="Review date" ma:indexed="true" ma:internalName="Review_x0020_Dat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Flow_SignoffStatus" ma:index="22" nillable="true" ma:displayName="Sign-off status" ma:internalName="Sign_x002d_off_x0020_status">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443b0bdb-28a8-4814-9fb9-624c17c095f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ccaf3ac-2de9-44d4-aa31-54302fceb5f7" elementFormDefault="qualified">
    <xsd:import namespace="http://schemas.microsoft.com/office/2006/documentManagement/types"/>
    <xsd:import namespace="http://schemas.microsoft.com/office/infopath/2007/PartnerControls"/>
    <xsd:element name="TaxCatchAll" ma:index="25" nillable="true" ma:displayName="Taxonomy Catch All Column" ma:hidden="true" ma:list="{0231dacd-326e-4c85-be6a-59c44c7bc009}" ma:internalName="TaxCatchAll" ma:showField="CatchAllData" ma:web="ebd64cbd-6cf5-435c-bd4a-b8fc9bc14a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79F86F6-D23C-4186-B50F-CA75B9C1C0A8}">
  <ds:schemaRefs>
    <ds:schemaRef ds:uri="http://schemas.microsoft.com/office/2006/metadata/properties"/>
    <ds:schemaRef ds:uri="http://schemas.microsoft.com/office/infopath/2007/PartnerControls"/>
    <ds:schemaRef ds:uri="http://schemas.microsoft.com/sharepoint/v3"/>
    <ds:schemaRef ds:uri="7a641c64-358b-4774-a48d-0ff369a0b306"/>
    <ds:schemaRef ds:uri="cccaf3ac-2de9-44d4-aa31-54302fceb5f7"/>
  </ds:schemaRefs>
</ds:datastoreItem>
</file>

<file path=customXml/itemProps2.xml><?xml version="1.0" encoding="utf-8"?>
<ds:datastoreItem xmlns:ds="http://schemas.openxmlformats.org/officeDocument/2006/customXml" ds:itemID="{CCB911AD-013A-497E-8FC8-9A8EED2D5B69}">
  <ds:schemaRefs>
    <ds:schemaRef ds:uri="http://schemas.microsoft.com/sharepoint/v3/contenttype/forms"/>
  </ds:schemaRefs>
</ds:datastoreItem>
</file>

<file path=customXml/itemProps3.xml><?xml version="1.0" encoding="utf-8"?>
<ds:datastoreItem xmlns:ds="http://schemas.openxmlformats.org/officeDocument/2006/customXml" ds:itemID="{464A0CCB-4A93-4A2A-95E3-DD86737E85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b27cdc1-400d-4805-bf48-8136a8f715a4"/>
    <ds:schemaRef ds:uri="296decaa-fca3-493c-9d99-8279456de818"/>
    <ds:schemaRef ds:uri="7a641c64-358b-4774-a48d-0ff369a0b306"/>
    <ds:schemaRef ds:uri="cccaf3ac-2de9-44d4-aa31-54302fceb5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1860</Words>
  <Characters>10607</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Nottinghamshire Health Informatics Service (NHIS)</Company>
  <LinksUpToDate>false</LinksUpToDate>
  <CharactersWithSpaces>12443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MortAnd</dc:creator>
  <cp:keywords/>
  <dc:description/>
  <cp:lastModifiedBy>Chris Bird (CCG) SESCCG</cp:lastModifiedBy>
  <cp:revision>2</cp:revision>
  <dcterms:created xsi:type="dcterms:W3CDTF">2023-03-03T12:36:00Z</dcterms:created>
  <dcterms:modified xsi:type="dcterms:W3CDTF">2023-03-03T12:36:00Z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0x0101006D3E64826237E941848EA88AF3E6312B</vt:lpwstr>
  </property>
</Properties>
</file>